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Default Extension="png" ContentType="image/png"/>
  <Default Extension="bin" ContentType="application/vnd.openxmlformats-officedocument.oleObject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5361"/>
        <w:gridCol w:w="2410"/>
      </w:tblGrid>
      <w:tr>
        <w:trPr>
          <w:trHeight w:val="1560"/>
        </w:trPr>
        <w:tc>
          <w:tcPr>
            <w:tcW w:w="2118" w:type="dxa"/>
            <w:shd w:val="clear" w:color="auto" w:fill="auto"/>
          </w:tcPr>
          <w:p>
            <w:pPr>
              <w:pStyle w:val="38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0" t="0" r="0" b="0"/>
                  <wp:docPr id="1" name="Képek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Képek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57275" cy="81915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>
            <w:pPr>
              <w:pStyle w:val="38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>
            <w:pPr>
              <w:pStyle w:val="38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38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Vizsla Kupa 1. forduló, </w:t>
            </w:r>
          </w:p>
          <w:p>
            <w:pPr>
              <w:pStyle w:val="38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2026. március 7. szombat </w:t>
            </w:r>
          </w:p>
          <w:p>
            <w:pPr>
              <w:pStyle w:val="38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>
            <w:pPr>
              <w:pStyle w:val="38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>
                <v:shapetype id="_x0000_t75" coordsize="21600,216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" type="#_x0000_t75" filled="f" stroked="f" strokeweight="1.0pt" style="width:110.49999pt;&#10;height:70.5pt;" o:ole="">
                  <v:stroke color="#000000"/>
                  <v:imagedata r:id="rId3" o:title="5597418431771441358260"/>
                  <o:lock aspectratio="t"/>
                </v:shape>
                <o:OLEObject Type="Embed" ProgID="PBrush" ShapeID="_x0000_i1" DrawAspect="Content" ObjectID="_1393063351" r:id="rId4"/>
              </w:object>
            </w:r>
          </w:p>
        </w:tc>
      </w:tr>
    </w:tbl>
    <w:p>
      <w:pPr>
        <w:pStyle w:val="38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Tájfutó nappali egyéni, csökkentett normáltávú regionális rangsoroló verseny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Helyszín:</w:t>
      </w:r>
      <w:r>
        <w:t xml:space="preserve"> Csillebérc, KFKI után az aszfaltúton tovább még 400 m</w:t>
        <w:tab/>
        <w:br/>
        <w:t>GPS koordináták: 47.485819497887164, 18.948483466665493</w:t>
      </w:r>
    </w:p>
    <w:p>
      <w:pPr>
        <w:pStyle w:val="38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Rendezők</w:t>
      </w:r>
      <w:r>
        <w:t>: Vizsla SE, SAS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 xml:space="preserve">Elnök, pályakitűző: </w:t>
      </w:r>
      <w:r>
        <w:t>Hegedűs Zoltán</w:t>
      </w:r>
    </w:p>
    <w:p>
      <w:pPr>
        <w:pStyle w:val="38"/>
        <w:tabs>
          <w:tab w:val="left" w:pos="6300"/>
        </w:tabs>
        <w:ind w:right="70"/>
        <w:jc w:val="both"/>
        <w:rPr>
          <w:b/>
        </w:rPr>
      </w:pPr>
    </w:p>
    <w:p>
      <w:pPr>
        <w:pStyle w:val="38"/>
        <w:tabs>
          <w:tab w:val="left" w:pos="6300"/>
        </w:tabs>
        <w:ind w:right="70"/>
        <w:jc w:val="both"/>
        <w:rPr>
          <w:b/>
          <w:i/>
          <w:sz w:val="16"/>
          <w:szCs w:val="16"/>
        </w:rPr>
      </w:pPr>
      <w:r>
        <w:rPr>
          <w:b/>
          <w:i/>
        </w:rPr>
        <w:t xml:space="preserve">Kinek érdemes eljönni a Vizsla Kupára?              </w:t>
      </w:r>
    </w:p>
    <w:p>
      <w:pPr>
        <w:pStyle w:val="38"/>
        <w:numPr>
          <w:ilvl w:val="0"/>
          <w:numId w:val="1"/>
        </w:numPr>
        <w:tabs>
          <w:tab w:val="left" w:pos="6300"/>
        </w:tabs>
        <w:ind w:left="425" w:right="70"/>
        <w:jc w:val="both"/>
      </w:pPr>
      <w:r>
        <w:t>Aki szeretné megismerni a tájékozódást, a térképhasználatot. Segítünk, megtanítunk.</w:t>
      </w:r>
    </w:p>
    <w:p>
      <w:pPr>
        <w:pStyle w:val="38"/>
        <w:numPr>
          <w:ilvl w:val="0"/>
          <w:numId w:val="1"/>
        </w:numPr>
        <w:tabs>
          <w:tab w:val="left" w:pos="6300"/>
        </w:tabs>
        <w:ind w:left="425" w:right="70"/>
        <w:jc w:val="both"/>
      </w:pPr>
      <w:r>
        <w:t>Akit elhívtok, hogy elkezdhesse, gyereket, szülőt, rokont, barátot, munkatársat, ismerőst.</w:t>
      </w:r>
    </w:p>
    <w:p>
      <w:pPr>
        <w:pStyle w:val="38"/>
        <w:numPr>
          <w:ilvl w:val="0"/>
          <w:numId w:val="1"/>
        </w:numPr>
        <w:tabs>
          <w:tab w:val="left" w:pos="6300"/>
        </w:tabs>
        <w:ind w:left="425" w:right="70"/>
        <w:jc w:val="both"/>
      </w:pPr>
      <w:r>
        <w:t xml:space="preserve">Akik fejlődni szeretnének, ezért egy könnyebb pálya után nehezebbet is bevállalnak. </w:t>
      </w:r>
    </w:p>
    <w:p>
      <w:pPr>
        <w:pStyle w:val="38"/>
        <w:numPr>
          <w:ilvl w:val="0"/>
          <w:numId w:val="1"/>
        </w:numPr>
        <w:tabs>
          <w:tab w:val="left" w:pos="6300"/>
        </w:tabs>
        <w:ind w:left="425" w:right="70"/>
        <w:jc w:val="both"/>
      </w:pPr>
      <w:r>
        <w:t>A rutinos tájfutók, akik tájékozódási és fizikai kihívást keresnek.</w:t>
      </w:r>
    </w:p>
    <w:p>
      <w:pPr>
        <w:pStyle w:val="38"/>
        <w:numPr>
          <w:ilvl w:val="0"/>
          <w:numId w:val="1"/>
        </w:numPr>
        <w:tabs>
          <w:tab w:val="left" w:pos="6300"/>
        </w:tabs>
        <w:ind w:left="425" w:right="70"/>
        <w:jc w:val="both"/>
      </w:pPr>
      <w:r>
        <w:t>A Vizsla Kupa pontgyűjtők, akik, az éves összetett pontversenyben szeretnének eredményt elérni és ezért futnak több pályát mindegyik fordulóban.</w:t>
      </w:r>
    </w:p>
    <w:p>
      <w:pPr>
        <w:pStyle w:val="38"/>
        <w:tabs>
          <w:tab w:val="left" w:pos="6300"/>
        </w:tabs>
        <w:ind w:right="70"/>
        <w:jc w:val="both"/>
        <w:rPr>
          <w:b/>
        </w:rPr>
      </w:pPr>
    </w:p>
    <w:p>
      <w:pPr>
        <w:pStyle w:val="38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>
      <w:pPr>
        <w:pStyle w:val="38"/>
        <w:tabs>
          <w:tab w:val="left" w:pos="6300"/>
        </w:tabs>
        <w:ind w:right="70"/>
        <w:jc w:val="both"/>
        <w:rPr>
          <w:b/>
        </w:rPr>
      </w:pPr>
    </w:p>
    <w:p>
      <w:pPr>
        <w:pStyle w:val="38"/>
        <w:tabs>
          <w:tab w:val="left" w:pos="6300"/>
        </w:tabs>
        <w:ind w:right="70"/>
        <w:jc w:val="both"/>
        <w:rPr>
          <w:b/>
        </w:rPr>
      </w:pPr>
      <w:r>
        <w:rPr>
          <w:b/>
          <w:u w:val="single"/>
        </w:rPr>
        <w:t>Rangsoroló kategóriák</w:t>
      </w:r>
      <w:r>
        <w:rPr>
          <w:b/>
        </w:rPr>
        <w:t xml:space="preserve">, </w:t>
      </w:r>
      <w:r>
        <w:t>itt az éves versenyengedéllyel indulók alapáron vehetnek részt</w:t>
      </w:r>
      <w:r>
        <w:rPr>
          <w:b/>
        </w:rPr>
        <w:t>:</w:t>
      </w:r>
      <w:r>
        <w:t xml:space="preserve"> 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6125"/>
      </w:tblGrid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>
              <w:rPr>
                <w:b/>
              </w:rPr>
              <w:t>Színkódos kategóriák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Jellemzés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>
              <w:rPr>
                <w:b/>
                <w:highlight w:val="yellow"/>
              </w:rPr>
              <w:t>Sárga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>
              <w:rPr>
                <w:b/>
                <w:color w:val="7030A0"/>
              </w:rPr>
              <w:t>Lila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>
              <w:rPr>
                <w:b/>
                <w:color w:val="F89108"/>
              </w:rPr>
              <w:t>Narancs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>
              <w:rPr>
                <w:b/>
                <w:color w:val="33CC33"/>
              </w:rPr>
              <w:t>Világoszöld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>
              <w:rPr>
                <w:b/>
                <w:color w:val="006600"/>
              </w:rPr>
              <w:t>Zöld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>
              <w:rPr>
                <w:b/>
                <w:color w:val="0070C0"/>
              </w:rPr>
              <w:t>Kék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>
        <w:tc>
          <w:tcPr>
            <w:tcW w:w="1504" w:type="dxa"/>
          </w:tcPr>
          <w:p>
            <w:pPr>
              <w:pStyle w:val="38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>
              <w:rPr>
                <w:b/>
                <w:color w:val="984806"/>
              </w:rPr>
              <w:t>Barna</w:t>
            </w:r>
          </w:p>
        </w:tc>
        <w:tc>
          <w:tcPr>
            <w:tcW w:w="6125" w:type="dxa"/>
          </w:tcPr>
          <w:p>
            <w:pPr>
              <w:pStyle w:val="38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>
      <w:pPr>
        <w:pStyle w:val="38"/>
        <w:tabs>
          <w:tab w:val="left" w:pos="6300"/>
        </w:tabs>
        <w:ind w:right="70"/>
        <w:jc w:val="both"/>
      </w:pPr>
    </w:p>
    <w:p>
      <w:pPr>
        <w:pStyle w:val="38"/>
        <w:tabs>
          <w:tab w:val="left" w:pos="6300"/>
        </w:tabs>
        <w:ind w:right="70"/>
        <w:jc w:val="both"/>
      </w:pPr>
      <w:r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>
        <w:t>ezeken</w:t>
      </w:r>
      <w:r>
        <w:rPr>
          <w:b/>
        </w:rPr>
        <w:t xml:space="preserve"> </w:t>
      </w:r>
      <w:r>
        <w:t xml:space="preserve">versenyengedély nélkül is alapáron indulhattok, illetve a második és többi pályát teljesítőknek: 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RK</w:t>
      </w:r>
      <w:r>
        <w:t>– rövid könnyű, azonos pálya a Sárgával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HK</w:t>
      </w:r>
      <w:r>
        <w:t xml:space="preserve"> – hosszú könnyű, azonos pálya a Lilával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KT</w:t>
      </w:r>
      <w:r>
        <w:t xml:space="preserve"> – közepes technikás, azonos pálya a Naranccsal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XS</w:t>
      </w:r>
      <w:r>
        <w:t xml:space="preserve"> – legrövidebb technikás, azonos pálya a Világoszölddel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RT</w:t>
      </w:r>
      <w:r>
        <w:t xml:space="preserve"> – rövid technikás, azonos pálya a Zölddel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HT</w:t>
      </w:r>
      <w:r>
        <w:t xml:space="preserve"> – hosszú technikás, azonos pálya a Kékkel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XL</w:t>
      </w:r>
      <w:r>
        <w:t xml:space="preserve"> – leghosszabb technikás, azonos pálya a Barnával</w:t>
      </w:r>
    </w:p>
    <w:p>
      <w:pPr>
        <w:pStyle w:val="38"/>
        <w:tabs>
          <w:tab w:val="left" w:pos="6300"/>
        </w:tabs>
        <w:ind w:right="70"/>
        <w:jc w:val="both"/>
        <w:rPr>
          <w:b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Nevezés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elektronikusan: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4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az </w:t>
      </w:r>
      <w:r>
        <w:rPr>
          <w:rFonts w:ascii="Times New Roman" w:cs="Times New Roman" w:hAnsi="Times New Roman"/>
          <w:b/>
          <w:sz w:val="24"/>
          <w:szCs w:val="24"/>
        </w:rPr>
        <w:t>e-nevezes.hu</w:t>
      </w:r>
      <w:r>
        <w:rPr>
          <w:rFonts w:ascii="Times New Roman" w:cs="Times New Roman" w:hAnsi="Times New Roman"/>
          <w:sz w:val="24"/>
          <w:szCs w:val="24"/>
        </w:rPr>
        <w:t xml:space="preserve"> rendszerben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március 6. péntek 20:00 óráig. </w:t>
      </w:r>
      <w:r>
        <w:rPr>
          <w:rStyle w:val="30"/>
          <w:rFonts w:ascii="Times New Roman" w:cs="Times New Roman" w:hAnsi="Times New Roman"/>
          <w:sz w:val="24"/>
          <w:szCs w:val="24"/>
        </w:rPr>
        <w:fldChar w:fldCharType="begin"/>
      </w:r>
      <w:r>
        <w:instrText>HYPERLINK "https://www.e-nevezes.hu/hu/esemeny/show/1315"</w:instrText>
      </w:r>
      <w:r>
        <w:rPr>
          <w:rStyle w:val="30"/>
          <w:rFonts w:ascii="Times New Roman" w:cs="Times New Roman" w:hAnsi="Times New Roman"/>
          <w:sz w:val="24"/>
          <w:szCs w:val="24"/>
        </w:rPr>
        <w:fldChar w:fldCharType="separate"/>
      </w:r>
      <w:r>
        <w:rPr>
          <w:rStyle w:val="30"/>
          <w:rFonts w:ascii="Times New Roman" w:cs="Times New Roman" w:hAnsi="Times New Roman"/>
          <w:sz w:val="24"/>
          <w:szCs w:val="24"/>
        </w:rPr>
        <w:t>https://www.e-nevezes.hu/hu/esemeny/show/1315</w:t>
      </w:r>
      <w:r>
        <w:rPr>
          <w:rStyle w:val="30"/>
          <w:rFonts w:ascii="Times New Roman" w:cs="Times New Roman" w:hAnsi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Az előnevezők </w:t>
      </w:r>
      <w:r>
        <w:rPr>
          <w:rFonts w:ascii="Times New Roman" w:cs="Times New Roman" w:hAnsi="Times New Roman"/>
          <w:b/>
          <w:sz w:val="24"/>
          <w:szCs w:val="24"/>
        </w:rPr>
        <w:t>saját térképet kapnak</w:t>
      </w:r>
      <w:r>
        <w:rPr>
          <w:rFonts w:ascii="Times New Roman" w:cs="Times New Roman" w:hAnsi="Times New Roman"/>
          <w:sz w:val="24"/>
          <w:szCs w:val="24"/>
        </w:rPr>
        <w:t>, amit nem kell leadniuk a futás után. A futni kívánt pályákat és az esetleges dugóka bérlését kérem jelezzétek !</w:t>
      </w:r>
    </w:p>
    <w:p>
      <w:pPr>
        <w:pStyle w:val="42"/>
        <w:numPr>
          <w:ilvl w:val="0"/>
          <w:numId w:val="2"/>
        </w:num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 helyszínen</w:t>
      </w:r>
      <w:r>
        <w:rPr>
          <w:rFonts w:ascii="Times New Roman" w:cs="Times New Roman" w:hAnsi="Times New Roman"/>
          <w:sz w:val="24"/>
          <w:szCs w:val="24"/>
        </w:rPr>
        <w:t xml:space="preserve">: az így nevezőknek a </w:t>
      </w:r>
      <w:r>
        <w:rPr>
          <w:rFonts w:ascii="Times New Roman" w:cs="Times New Roman" w:hAnsi="Times New Roman"/>
          <w:b/>
          <w:sz w:val="24"/>
          <w:szCs w:val="24"/>
        </w:rPr>
        <w:t xml:space="preserve">futás után a Rajtban le kell adniuk a térképet! 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Nevezési díj: </w:t>
      </w:r>
      <w:r>
        <w:rPr>
          <w:rFonts w:ascii="Times New Roman" w:cs="Times New Roman" w:hAnsi="Times New Roman"/>
          <w:sz w:val="24"/>
          <w:szCs w:val="24"/>
        </w:rPr>
        <w:t xml:space="preserve">Az előre nevezőknek 1500 Ft, ezért több pályát is futhattok.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E-nevezes.hu: </w:t>
      </w:r>
      <w:r>
        <w:rPr>
          <w:rFonts w:ascii="Times New Roman" w:cs="Times New Roman" w:hAnsi="Times New Roman"/>
          <w:sz w:val="24"/>
          <w:szCs w:val="24"/>
        </w:rPr>
        <w:t xml:space="preserve">Az alábbi linken elérhető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dugókaszám rovatba írd be a dugóka számodat. A készpénzforgalom elkerülésére lehetőleg az e-nevezés rendszerben fizessetek bankkártyával, de nem kötelező.</w:t>
      </w:r>
    </w:p>
    <w:p>
      <w:pPr>
        <w:pStyle w:val="38"/>
        <w:tabs>
          <w:tab w:val="left" w:pos="6300"/>
        </w:tabs>
        <w:ind w:right="70"/>
        <w:jc w:val="both"/>
      </w:pP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9:30-tól 13:00-ig 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</w:rPr>
        <w:t>"0" idő: 10:00</w:t>
      </w:r>
    </w:p>
    <w:p>
      <w:pPr>
        <w:pStyle w:val="38"/>
        <w:tabs>
          <w:tab w:val="left" w:pos="6300"/>
        </w:tabs>
        <w:ind w:right="70"/>
        <w:jc w:val="both"/>
      </w:pPr>
    </w:p>
    <w:p>
      <w:pPr>
        <w:pStyle w:val="38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KFKI-Makkos </w:t>
      </w:r>
      <w:r>
        <w:rPr>
          <w:bCs/>
        </w:rPr>
        <w:t>M= 1:10 000</w:t>
      </w:r>
      <w:r>
        <w:rPr>
          <w:b/>
          <w:bCs/>
        </w:rPr>
        <w:t xml:space="preserve">, </w:t>
      </w:r>
      <w:r>
        <w:rPr>
          <w:bCs/>
        </w:rPr>
        <w:t xml:space="preserve">alapszintköz 5 m. </w:t>
      </w:r>
    </w:p>
    <w:p>
      <w:pPr>
        <w:pStyle w:val="38"/>
        <w:tabs>
          <w:tab w:val="left" w:pos="6300"/>
        </w:tabs>
        <w:ind w:right="70"/>
        <w:jc w:val="both"/>
        <w:rPr>
          <w:bCs/>
        </w:rPr>
      </w:pPr>
    </w:p>
    <w:p>
      <w:pPr>
        <w:pStyle w:val="38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közelében</w:t>
      </w:r>
    </w:p>
    <w:p>
      <w:pPr>
        <w:pStyle w:val="38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>a SPORT</w:t>
      </w:r>
      <w:r>
        <w:rPr>
          <w:i/>
          <w:iCs/>
        </w:rPr>
        <w:t xml:space="preserve">ident </w:t>
      </w:r>
      <w:r>
        <w:rPr>
          <w:iCs/>
        </w:rPr>
        <w:t>időmérő és értékelő</w:t>
      </w:r>
      <w:r>
        <w:rPr>
          <w:i/>
          <w:iCs/>
        </w:rPr>
        <w:t xml:space="preserve"> </w:t>
      </w:r>
      <w:r>
        <w:t>rendszert használjuk, hagyományos üzemmódban, dugóka (chip) a helyszínen</w:t>
      </w:r>
      <w:r>
        <w:rPr>
          <w:b/>
          <w:bCs/>
        </w:rPr>
        <w:t xml:space="preserve"> </w:t>
      </w:r>
      <w:r>
        <w:rPr>
          <w:bCs/>
        </w:rPr>
        <w:t>bérelhető fejenként 400 Ft-ért</w:t>
      </w:r>
      <w:r>
        <w:t>.</w:t>
      </w:r>
    </w:p>
    <w:p>
      <w:pPr>
        <w:pStyle w:val="38"/>
        <w:tabs>
          <w:tab w:val="left" w:pos="6300"/>
        </w:tabs>
        <w:ind w:right="70"/>
        <w:jc w:val="both"/>
      </w:pPr>
    </w:p>
    <w:p>
      <w:pPr>
        <w:pStyle w:val="38"/>
        <w:ind w:right="70"/>
        <w:jc w:val="both"/>
      </w:pPr>
      <w:r>
        <w:t xml:space="preserve">Ez a 2026. évi Vizsla Kupa sorozat 1. futama. </w:t>
      </w:r>
    </w:p>
    <w:p>
      <w:pPr>
        <w:pStyle w:val="38"/>
        <w:ind w:right="70"/>
        <w:jc w:val="both"/>
      </w:pPr>
      <w:r>
        <w:t>Az összetett pontverseny helyezettjeit az előző évekhez hasonlóan díjazzuk az utolsó futam után.</w:t>
      </w:r>
    </w:p>
    <w:p>
      <w:pPr>
        <w:pStyle w:val="38"/>
        <w:ind w:right="70"/>
      </w:pPr>
      <w:r>
        <w:t>Az összetett eredménybe minden futáson szerzett pontszám beleszámít.</w:t>
      </w:r>
    </w:p>
    <w:p>
      <w:pPr>
        <w:pStyle w:val="38"/>
        <w:ind w:right="70"/>
      </w:pPr>
    </w:p>
    <w:p>
      <w:pPr>
        <w:pStyle w:val="38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>
      <w:pPr>
        <w:pStyle w:val="38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>
      <w:pPr>
        <w:pStyle w:val="38"/>
        <w:tabs>
          <w:tab w:val="left" w:pos="6480"/>
        </w:tabs>
        <w:ind w:right="70"/>
        <w:jc w:val="both"/>
        <w:rPr>
          <w:i/>
        </w:rPr>
      </w:pPr>
    </w:p>
    <w:p>
      <w:pPr>
        <w:pStyle w:val="38"/>
        <w:tabs>
          <w:tab w:val="left" w:pos="6480"/>
        </w:tabs>
        <w:ind w:right="70"/>
        <w:jc w:val="both"/>
        <w:rPr>
          <w:i/>
        </w:rPr>
      </w:pPr>
    </w:p>
    <w:sectPr>
      <w:pgSz w:w="11906" w:h="16838"/>
      <w:pgMar w:top="1077" w:right="1418" w:bottom="1077" w:left="1418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5058A72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multiLevelType w:val="hybridMultilevel"/>
    <w:tmpl w:val="5FB86E9C"/>
    <w:lvl w:ilvl="0">
      <w:start w:val="202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08"/>
  <w:drawingGridHorizontalSpacing w:val="0"/>
  <w:drawingGridVerticalSpacing w:val="0"/>
  <w:doNotUseMarginsForDrawingGridOrigin/>
  <w:drawingGridHorizontalOrigin w:val="0"/>
  <w:drawingGridVerticalOrigin w:val="0"/>
  <w:displayHorizontalDrawingGridEvery w:val="0"/>
  <w:displayVerticalDrawingGridEvery w:val="0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uppressAutoHyphens/>
      <w:spacing w:after="200" w:line="276" w:lineRule="auto"/>
    </w:pPr>
    <w:rPr>
      <w:rFonts w:ascii="Calibri" w:eastAsia="Times New Roman" w:cs="Calibri" w:hAnsi="Calibri"/>
      <w:sz w:val="22"/>
      <w:szCs w:val="22"/>
      <w:lang w:val="hu-HU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WW8Num1z0"/>
    <w:rPr>
      <w:rFonts w:ascii="Times New Roman" w:eastAsia="Times New Roman" w:cs="Times New Roman" w:hAnsi="Times New Roman"/>
    </w:rPr>
  </w:style>
  <w:style w:type="character" w:customStyle="1" w:styleId="16">
    <w:name w:val="WW8Num2z0"/>
  </w:style>
  <w:style w:type="character" w:customStyle="1" w:styleId="17">
    <w:name w:val="WW8Num2z1"/>
  </w:style>
  <w:style w:type="character" w:customStyle="1" w:styleId="18">
    <w:name w:val="WW8Num2z2"/>
  </w:style>
  <w:style w:type="character" w:customStyle="1" w:styleId="19">
    <w:name w:val="WW8Num2z3"/>
  </w:style>
  <w:style w:type="character" w:customStyle="1" w:styleId="20">
    <w:name w:val="WW8Num2z4"/>
  </w:style>
  <w:style w:type="character" w:customStyle="1" w:styleId="21">
    <w:name w:val="WW8Num2z5"/>
  </w:style>
  <w:style w:type="character" w:customStyle="1" w:styleId="22">
    <w:name w:val="WW8Num2z6"/>
  </w:style>
  <w:style w:type="character" w:customStyle="1" w:styleId="23">
    <w:name w:val="WW8Num2z7"/>
  </w:style>
  <w:style w:type="character" w:customStyle="1" w:styleId="24">
    <w:name w:val="WW8Num2z8"/>
  </w:style>
  <w:style w:type="character" w:customStyle="1" w:styleId="25">
    <w:name w:val="Bekezdés alap-betűtípusa2"/>
  </w:style>
  <w:style w:type="character" w:customStyle="1" w:styleId="26">
    <w:name w:val="WW8Num1z1"/>
    <w:rPr>
      <w:rFonts w:ascii="Courier New" w:cs="Courier New" w:hAnsi="Courier New"/>
    </w:rPr>
  </w:style>
  <w:style w:type="character" w:customStyle="1" w:styleId="27">
    <w:name w:val="WW8Num1z2"/>
    <w:rPr>
      <w:rFonts w:ascii="Wingdings" w:cs="Wingdings" w:hAnsi="Wingdings"/>
    </w:rPr>
  </w:style>
  <w:style w:type="character" w:customStyle="1" w:styleId="28">
    <w:name w:val="WW8Num1z3"/>
    <w:rPr>
      <w:rFonts w:ascii="Symbol" w:cs="Symbol" w:hAnsi="Symbol"/>
    </w:rPr>
  </w:style>
  <w:style w:type="character" w:customStyle="1" w:styleId="29">
    <w:name w:val="Bekezdés alap-betűtípusa1"/>
  </w:style>
  <w:style w:type="character" w:styleId="30">
    <w:name w:val="Hyperlink"/>
    <w:basedOn w:val="29"/>
    <w:rPr>
      <w:color w:val="0000FF"/>
      <w:u w:val="single"/>
    </w:rPr>
  </w:style>
  <w:style w:type="character" w:styleId="31">
    <w:name w:val="FollowedHyperlink"/>
    <w:basedOn w:val="29"/>
    <w:rPr>
      <w:color w:val="800080"/>
      <w:u w:val="single"/>
    </w:rPr>
  </w:style>
  <w:style w:type="paragraph" w:customStyle="1" w:styleId="32">
    <w:name w:val="Címsor"/>
    <w:basedOn w:val="0"/>
    <w:next w:val="33"/>
    <w:pPr>
      <w:keepNext/>
      <w:suppressAutoHyphens/>
      <w:spacing w:before="240" w:after="120"/>
    </w:pPr>
    <w:rPr>
      <w:rFonts w:ascii="Arial" w:eastAsia="Lucida Sans Unicode" w:cs="Mangal" w:hAnsi="Arial"/>
      <w:sz w:val="28"/>
      <w:szCs w:val="28"/>
    </w:rPr>
  </w:style>
  <w:style w:type="paragraph" w:styleId="33">
    <w:name w:val="Body Text"/>
    <w:basedOn w:val="0"/>
    <w:pPr>
      <w:spacing w:after="120"/>
    </w:pPr>
  </w:style>
  <w:style w:type="paragraph" w:styleId="34">
    <w:name w:val="List"/>
    <w:basedOn w:val="33"/>
    <w:rPr>
      <w:rFonts w:cs="Mangal"/>
    </w:rPr>
  </w:style>
  <w:style w:type="paragraph" w:styleId="35">
    <w:name w:val="caption"/>
    <w:basedOn w:val="0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6">
    <w:name w:val="Tárgymutató"/>
    <w:basedOn w:val="0"/>
    <w:pPr>
      <w:suppressLineNumbers/>
      <w:suppressAutoHyphens/>
    </w:pPr>
    <w:rPr>
      <w:rFonts w:cs="Mangal"/>
    </w:rPr>
  </w:style>
  <w:style w:type="paragraph" w:customStyle="1" w:styleId="37">
    <w:name w:val="Képaláírás1"/>
    <w:basedOn w:val="0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8">
    <w:name w:val="Default"/>
    <w:pPr>
      <w:suppressAutoHyphens/>
      <w:autoSpaceDE w:val="0"/>
    </w:pPr>
    <w:rPr>
      <w:rFonts w:ascii="Times New Roman" w:eastAsia="Times New Roman" w:cs="Times New Roman" w:hAnsi="Times New Roman"/>
      <w:color w:val="000000"/>
      <w:sz w:val="24"/>
      <w:szCs w:val="24"/>
      <w:lang w:val="hu-HU" w:eastAsia="zh-CN" w:bidi="ar-SA"/>
    </w:rPr>
  </w:style>
  <w:style w:type="paragraph" w:styleId="39">
    <w:name w:val="Balloon Text"/>
    <w:basedOn w:val="0"/>
    <w:rPr>
      <w:rFonts w:ascii="Tahoma" w:cs="Tahoma" w:hAnsi="Tahoma"/>
      <w:sz w:val="16"/>
      <w:szCs w:val="16"/>
    </w:rPr>
  </w:style>
  <w:style w:type="paragraph" w:customStyle="1" w:styleId="40">
    <w:name w:val="Táblázattartalom"/>
    <w:basedOn w:val="0"/>
    <w:pPr>
      <w:suppressLineNumbers/>
      <w:suppressAutoHyphens/>
    </w:pPr>
  </w:style>
  <w:style w:type="paragraph" w:customStyle="1" w:styleId="41">
    <w:name w:val="Táblázatfejléc"/>
    <w:basedOn w:val="40"/>
    <w:pPr>
      <w:jc w:val="center"/>
    </w:pPr>
    <w:rPr>
      <w:b/>
      <w:bCs/>
    </w:rPr>
  </w:style>
  <w:style w:type="paragraph" w:customStyle="1" w:styleId="42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emf"/><Relationship Id="rId3" Type="http://schemas.openxmlformats.org/officeDocument/2006/relationships/image" Target="media/5.png"/><Relationship Id="rId4" Type="http://schemas.openxmlformats.org/officeDocument/2006/relationships/oleObject" Target="embeddings/oleObject1.bin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Honor_Office</Application>
  <Pages>2</Pages>
  <Words>421</Words>
  <Characters>2683</Characters>
  <Lines>92</Lines>
  <Paragraphs>55</Paragraphs>
  <CharactersWithSpaces>3084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2026-02-18T12:08:09Z</dcterms:modified>
</cp:coreProperties>
</file>