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BlaCon-Light" w:hAnsi="NimbuSanDEEBlaCon-Light" w:cs="NimbuSanDEEBlaCon-Light"/>
          <w:color w:val="231F20"/>
          <w:sz w:val="19"/>
          <w:szCs w:val="19"/>
        </w:rPr>
      </w:pPr>
      <w:r>
        <w:rPr>
          <w:rFonts w:ascii="NimbuSanDEEBlaCon-Light" w:hAnsi="NimbuSanDEEBlaCon-Light" w:cs="NimbuSanDEEBlaCon-Light"/>
          <w:color w:val="231F20"/>
          <w:sz w:val="19"/>
          <w:szCs w:val="19"/>
        </w:rPr>
        <w:t>IOF Jelkulcs</w:t>
      </w: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BlaCon-Light" w:hAnsi="NimbuSanDEEBlaCon-Light" w:cs="NimbuSanDEEBlaCon-Light"/>
          <w:color w:val="231F20"/>
          <w:sz w:val="19"/>
          <w:szCs w:val="19"/>
        </w:rPr>
      </w:pP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BlaCon-Light" w:hAnsi="NimbuSanDEEBlaCon-Light" w:cs="NimbuSanDEEBlaCon-Light"/>
          <w:color w:val="231F20"/>
          <w:sz w:val="19"/>
          <w:szCs w:val="19"/>
        </w:rPr>
      </w:pP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BlaCon-Light" w:hAnsi="NimbuSanDEEBlaCon-Light" w:cs="NimbuSanDEEBlaCon-Light"/>
          <w:color w:val="231F20"/>
          <w:sz w:val="19"/>
          <w:szCs w:val="19"/>
        </w:rPr>
      </w:pP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BlaCon-Light" w:hAnsi="NimbuSanDEEBlaCon-Light" w:cs="NimbuSanDEEBlaCon-Light"/>
          <w:color w:val="231F20"/>
          <w:sz w:val="19"/>
          <w:szCs w:val="19"/>
        </w:rPr>
      </w:pPr>
      <w:r>
        <w:rPr>
          <w:rFonts w:ascii="NimbuSanDEEBlaCon-Light" w:hAnsi="NimbuSanDEEBlaCon-Light" w:cs="NimbuSanDEEBlaCon-Light"/>
          <w:color w:val="231F20"/>
          <w:sz w:val="19"/>
          <w:szCs w:val="19"/>
        </w:rPr>
        <w:t xml:space="preserve">                        </w:t>
      </w: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BlaCon-Light" w:hAnsi="NimbuSanDEEBlaCon-Light" w:cs="NimbuSanDEEBlaCon-Light"/>
          <w:color w:val="231F20"/>
          <w:sz w:val="19"/>
          <w:szCs w:val="19"/>
        </w:rPr>
      </w:pPr>
      <w:r>
        <w:rPr>
          <w:rFonts w:ascii="NimbuSanDEEBlaCon-Light" w:hAnsi="NimbuSanDEEBlaCon-Light" w:cs="NimbuSanDEEBlaCon-Light"/>
          <w:color w:val="231F20"/>
          <w:sz w:val="19"/>
          <w:szCs w:val="19"/>
        </w:rPr>
        <w:t>532     Sír:  jele</w:t>
      </w:r>
      <w:r w:rsidR="001C51FC">
        <w:rPr>
          <w:rFonts w:ascii="NimbuSanDEEBlaCon-Light" w:hAnsi="NimbuSanDEEBlaCon-Light" w:cs="NimbuSanDEEBlaCon-Light"/>
          <w:color w:val="231F20"/>
          <w:sz w:val="19"/>
          <w:szCs w:val="19"/>
        </w:rPr>
        <w:t xml:space="preserve">  +</w:t>
      </w: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Con-Light" w:hAnsi="NimbuSanDEECon-Light" w:cs="NimbuSanDEECon-Light"/>
          <w:color w:val="231F20"/>
          <w:sz w:val="19"/>
          <w:szCs w:val="19"/>
        </w:rPr>
      </w:pP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Con-Light" w:hAnsi="NimbuSanDEECon-Light" w:cs="NimbuSanDEECon-Light"/>
          <w:color w:val="231F20"/>
          <w:sz w:val="19"/>
          <w:szCs w:val="19"/>
        </w:rPr>
      </w:pPr>
      <w:r>
        <w:rPr>
          <w:rFonts w:ascii="NimbuSanDEECon-Light" w:hAnsi="NimbuSanDEECon-Light" w:cs="NimbuSanDEECon-Light"/>
          <w:color w:val="231F20"/>
          <w:sz w:val="19"/>
          <w:szCs w:val="19"/>
        </w:rPr>
        <w:t xml:space="preserve">Egyedülálló, </w:t>
      </w:r>
      <w:proofErr w:type="spellStart"/>
      <w:r>
        <w:rPr>
          <w:rFonts w:ascii="NimbuSanDEECon-Light" w:hAnsi="NimbuSanDEECon-Light" w:cs="NimbuSanDEECon-Light"/>
          <w:color w:val="231F20"/>
          <w:sz w:val="19"/>
          <w:szCs w:val="19"/>
        </w:rPr>
        <w:t>kõvel</w:t>
      </w:r>
      <w:proofErr w:type="spellEnd"/>
      <w:r>
        <w:rPr>
          <w:rFonts w:ascii="NimbuSanDEECon-Light" w:hAnsi="NimbuSanDEECon-Light" w:cs="NimbuSanDEECon-Light"/>
          <w:color w:val="231F20"/>
          <w:sz w:val="19"/>
          <w:szCs w:val="19"/>
        </w:rPr>
        <w:t xml:space="preserve"> vagy </w:t>
      </w:r>
      <w:proofErr w:type="spellStart"/>
      <w:r>
        <w:rPr>
          <w:rFonts w:ascii="NimbuSanDEECon-Light" w:hAnsi="NimbuSanDEECon-Light" w:cs="NimbuSanDEECon-Light"/>
          <w:color w:val="231F20"/>
          <w:sz w:val="19"/>
          <w:szCs w:val="19"/>
        </w:rPr>
        <w:t>emlékmûvel</w:t>
      </w:r>
      <w:proofErr w:type="spellEnd"/>
      <w:r>
        <w:rPr>
          <w:rFonts w:ascii="NimbuSanDEECon-Light" w:hAnsi="NimbuSanDEECon-Light" w:cs="NimbuSanDEECon-Light"/>
          <w:color w:val="231F20"/>
          <w:sz w:val="19"/>
          <w:szCs w:val="19"/>
        </w:rPr>
        <w:t xml:space="preserve"> jelölt sír. A helyét a jel súlypontja jelöli. A jelet</w:t>
      </w: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Con-Light" w:hAnsi="NimbuSanDEECon-Light" w:cs="NimbuSanDEECon-Light"/>
          <w:color w:val="231F20"/>
          <w:sz w:val="19"/>
          <w:szCs w:val="19"/>
        </w:rPr>
      </w:pP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Con-Light" w:hAnsi="NimbuSanDEECon-Light" w:cs="NimbuSanDEECon-Light"/>
          <w:color w:val="231F20"/>
          <w:sz w:val="19"/>
          <w:szCs w:val="19"/>
        </w:rPr>
      </w:pPr>
      <w:proofErr w:type="gramStart"/>
      <w:r>
        <w:rPr>
          <w:rFonts w:ascii="NimbuSanDEECon-Light" w:hAnsi="NimbuSanDEECon-Light" w:cs="NimbuSanDEECon-Light"/>
          <w:color w:val="231F20"/>
          <w:sz w:val="19"/>
          <w:szCs w:val="19"/>
        </w:rPr>
        <w:t>északra</w:t>
      </w:r>
      <w:proofErr w:type="gramEnd"/>
      <w:r>
        <w:rPr>
          <w:rFonts w:ascii="NimbuSanDEECon-Light" w:hAnsi="NimbuSanDEECon-Light" w:cs="NimbuSanDEECon-Light"/>
          <w:color w:val="231F20"/>
          <w:sz w:val="19"/>
          <w:szCs w:val="19"/>
        </w:rPr>
        <w:t xml:space="preserve"> kell tájolni. A </w:t>
      </w:r>
      <w:proofErr w:type="spellStart"/>
      <w:r>
        <w:rPr>
          <w:rFonts w:ascii="NimbuSanDEECon-Light" w:hAnsi="NimbuSanDEECon-Light" w:cs="NimbuSanDEECon-Light"/>
          <w:color w:val="231F20"/>
          <w:sz w:val="19"/>
          <w:szCs w:val="19"/>
        </w:rPr>
        <w:t>temetõ</w:t>
      </w:r>
      <w:proofErr w:type="spellEnd"/>
      <w:r>
        <w:rPr>
          <w:rFonts w:ascii="NimbuSanDEECon-Light" w:hAnsi="NimbuSanDEECon-Light" w:cs="NimbuSanDEECon-Light"/>
          <w:color w:val="231F20"/>
          <w:sz w:val="19"/>
          <w:szCs w:val="19"/>
        </w:rPr>
        <w:t xml:space="preserve"> is a sír jelével ábrázolható (felületi jel).</w:t>
      </w: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Con-Light" w:hAnsi="NimbuSanDEECon-Light" w:cs="NimbuSanDEECon-Light"/>
          <w:color w:val="231F20"/>
          <w:sz w:val="19"/>
          <w:szCs w:val="19"/>
        </w:rPr>
      </w:pPr>
    </w:p>
    <w:p w:rsidR="00CF0D76" w:rsidRDefault="00CF0D76" w:rsidP="00CF0D76">
      <w:pPr>
        <w:autoSpaceDE w:val="0"/>
        <w:autoSpaceDN w:val="0"/>
        <w:adjustRightInd w:val="0"/>
        <w:spacing w:after="0" w:line="240" w:lineRule="auto"/>
        <w:rPr>
          <w:rFonts w:ascii="NimbuSanDEECon-Light" w:hAnsi="NimbuSanDEECon-Light" w:cs="NimbuSanDEECon-Light"/>
          <w:color w:val="231F20"/>
          <w:sz w:val="19"/>
          <w:szCs w:val="19"/>
        </w:rPr>
      </w:pPr>
      <w:r>
        <w:rPr>
          <w:rFonts w:ascii="NimbuSanDEECon-Light" w:hAnsi="NimbuSanDEECon-Light" w:cs="NimbuSanDEECon-Light"/>
          <w:color w:val="231F20"/>
          <w:sz w:val="19"/>
          <w:szCs w:val="19"/>
        </w:rPr>
        <w:t>Színe: fekete.</w:t>
      </w:r>
    </w:p>
    <w:p w:rsidR="008D0786" w:rsidRDefault="008D0786"/>
    <w:sectPr w:rsidR="008D0786" w:rsidSect="008D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anDEEBlaCon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anDEECon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D76"/>
    <w:rsid w:val="000A3EAC"/>
    <w:rsid w:val="001C51FC"/>
    <w:rsid w:val="008D0786"/>
    <w:rsid w:val="00C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216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2019-03-08T17:27:00Z</dcterms:created>
  <dcterms:modified xsi:type="dcterms:W3CDTF">2019-03-08T17:57:00Z</dcterms:modified>
</cp:coreProperties>
</file>