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AD9B" w14:textId="13745B87" w:rsidR="00791C60" w:rsidRPr="006A6158" w:rsidRDefault="008A1AE0" w:rsidP="00037BBE">
      <w:pPr>
        <w:pStyle w:val="Title"/>
      </w:pPr>
      <w:r w:rsidRPr="008A1AE0">
        <w:t>A review of the ICA model of stakeholders in a spatial data infrastructure (SDI)</w:t>
      </w:r>
    </w:p>
    <w:p w14:paraId="6F7C4061" w14:textId="1710EBB8" w:rsidR="008A1AE0" w:rsidRDefault="008A1AE0" w:rsidP="006E3D08">
      <w:pPr>
        <w:pStyle w:val="Author"/>
        <w:spacing w:after="200"/>
        <w:rPr>
          <w:b w:val="0"/>
          <w:sz w:val="24"/>
          <w:lang w:val="pt-BR"/>
        </w:rPr>
      </w:pPr>
      <w:r w:rsidRPr="008A1AE0">
        <w:rPr>
          <w:b w:val="0"/>
          <w:sz w:val="24"/>
          <w:lang w:val="pt-BR"/>
        </w:rPr>
        <w:t>Antony K Cooper</w:t>
      </w:r>
      <w:r w:rsidR="004079FC">
        <w:rPr>
          <w:b w:val="0"/>
          <w:sz w:val="24"/>
          <w:lang w:val="pt-BR"/>
        </w:rPr>
        <w:t xml:space="preserve"> </w:t>
      </w:r>
      <w:r w:rsidRPr="004079FC">
        <w:rPr>
          <w:b w:val="0"/>
          <w:sz w:val="24"/>
          <w:vertAlign w:val="superscript"/>
          <w:lang w:val="pt-BR"/>
        </w:rPr>
        <w:t>a,b</w:t>
      </w:r>
      <w:r w:rsidRPr="004079FC">
        <w:rPr>
          <w:rFonts w:ascii="Cambria Math" w:hAnsi="Cambria Math" w:cs="Cambria Math"/>
          <w:b w:val="0"/>
          <w:sz w:val="24"/>
          <w:vertAlign w:val="superscript"/>
          <w:lang w:val="pt-BR"/>
        </w:rPr>
        <w:t>∗</w:t>
      </w:r>
      <w:r w:rsidRPr="008A1AE0">
        <w:rPr>
          <w:b w:val="0"/>
          <w:sz w:val="24"/>
          <w:lang w:val="pt-BR"/>
        </w:rPr>
        <w:t>, Serena Coetzee</w:t>
      </w:r>
      <w:r w:rsidR="004079FC">
        <w:rPr>
          <w:b w:val="0"/>
          <w:sz w:val="24"/>
          <w:lang w:val="pt-BR"/>
        </w:rPr>
        <w:t xml:space="preserve"> </w:t>
      </w:r>
      <w:r w:rsidRPr="004079FC">
        <w:rPr>
          <w:b w:val="0"/>
          <w:sz w:val="24"/>
          <w:vertAlign w:val="superscript"/>
          <w:lang w:val="pt-BR"/>
        </w:rPr>
        <w:t>b</w:t>
      </w:r>
      <w:r w:rsidRPr="008A1AE0">
        <w:rPr>
          <w:b w:val="0"/>
          <w:sz w:val="24"/>
          <w:lang w:val="pt-BR"/>
        </w:rPr>
        <w:t>, Harold Moellering</w:t>
      </w:r>
      <w:r w:rsidR="004079FC">
        <w:rPr>
          <w:b w:val="0"/>
          <w:sz w:val="24"/>
          <w:lang w:val="pt-BR"/>
        </w:rPr>
        <w:t xml:space="preserve"> </w:t>
      </w:r>
      <w:r w:rsidRPr="004079FC">
        <w:rPr>
          <w:b w:val="0"/>
          <w:sz w:val="24"/>
          <w:vertAlign w:val="superscript"/>
          <w:lang w:val="pt-BR"/>
        </w:rPr>
        <w:t>c</w:t>
      </w:r>
      <w:r w:rsidRPr="008A1AE0">
        <w:rPr>
          <w:b w:val="0"/>
          <w:sz w:val="24"/>
          <w:lang w:val="pt-BR"/>
        </w:rPr>
        <w:t>, Petr Rapant</w:t>
      </w:r>
      <w:r w:rsidR="004079FC">
        <w:rPr>
          <w:b w:val="0"/>
          <w:sz w:val="24"/>
          <w:lang w:val="pt-BR"/>
        </w:rPr>
        <w:t xml:space="preserve"> </w:t>
      </w:r>
      <w:r w:rsidRPr="004079FC">
        <w:rPr>
          <w:b w:val="0"/>
          <w:sz w:val="24"/>
          <w:vertAlign w:val="superscript"/>
          <w:lang w:val="pt-BR"/>
        </w:rPr>
        <w:t>d</w:t>
      </w:r>
      <w:r w:rsidRPr="008A1AE0">
        <w:rPr>
          <w:b w:val="0"/>
          <w:sz w:val="24"/>
          <w:lang w:val="pt-BR"/>
        </w:rPr>
        <w:t>, Joep Crompvoets</w:t>
      </w:r>
      <w:r w:rsidR="004079FC">
        <w:rPr>
          <w:b w:val="0"/>
          <w:sz w:val="24"/>
          <w:lang w:val="pt-BR"/>
        </w:rPr>
        <w:t xml:space="preserve"> </w:t>
      </w:r>
      <w:r w:rsidRPr="004079FC">
        <w:rPr>
          <w:b w:val="0"/>
          <w:sz w:val="24"/>
          <w:vertAlign w:val="superscript"/>
          <w:lang w:val="pt-BR"/>
        </w:rPr>
        <w:t>e</w:t>
      </w:r>
      <w:r w:rsidRPr="008A1AE0">
        <w:rPr>
          <w:b w:val="0"/>
          <w:sz w:val="24"/>
          <w:lang w:val="pt-BR"/>
        </w:rPr>
        <w:t>, Jan Hjelmager</w:t>
      </w:r>
      <w:r w:rsidR="004079FC">
        <w:rPr>
          <w:b w:val="0"/>
          <w:sz w:val="24"/>
          <w:lang w:val="pt-BR"/>
        </w:rPr>
        <w:t xml:space="preserve"> </w:t>
      </w:r>
      <w:r w:rsidRPr="004079FC">
        <w:rPr>
          <w:b w:val="0"/>
          <w:sz w:val="24"/>
          <w:vertAlign w:val="superscript"/>
          <w:lang w:val="pt-BR"/>
        </w:rPr>
        <w:t>f</w:t>
      </w:r>
      <w:r w:rsidRPr="008A1AE0">
        <w:rPr>
          <w:b w:val="0"/>
          <w:sz w:val="24"/>
          <w:lang w:val="pt-BR"/>
        </w:rPr>
        <w:t>, Tatiana Delgado</w:t>
      </w:r>
      <w:r w:rsidR="004079FC">
        <w:rPr>
          <w:b w:val="0"/>
          <w:sz w:val="24"/>
          <w:lang w:val="pt-BR"/>
        </w:rPr>
        <w:t xml:space="preserve"> </w:t>
      </w:r>
      <w:r w:rsidRPr="004079FC">
        <w:rPr>
          <w:b w:val="0"/>
          <w:sz w:val="24"/>
          <w:vertAlign w:val="superscript"/>
          <w:lang w:val="pt-BR"/>
        </w:rPr>
        <w:t>g</w:t>
      </w:r>
      <w:r w:rsidRPr="008A1AE0">
        <w:rPr>
          <w:b w:val="0"/>
          <w:sz w:val="24"/>
          <w:lang w:val="pt-BR"/>
        </w:rPr>
        <w:t>, Adam Iwaniak</w:t>
      </w:r>
      <w:r w:rsidR="004079FC">
        <w:rPr>
          <w:b w:val="0"/>
          <w:sz w:val="24"/>
          <w:lang w:val="pt-BR"/>
        </w:rPr>
        <w:t xml:space="preserve"> </w:t>
      </w:r>
      <w:r w:rsidRPr="004079FC">
        <w:rPr>
          <w:b w:val="0"/>
          <w:sz w:val="24"/>
          <w:vertAlign w:val="superscript"/>
          <w:lang w:val="pt-BR"/>
        </w:rPr>
        <w:t>h</w:t>
      </w:r>
    </w:p>
    <w:p w14:paraId="21FBF6CA" w14:textId="303895CD" w:rsidR="00791C60" w:rsidRPr="008B3E56" w:rsidRDefault="00791C60" w:rsidP="008B3E56">
      <w:pPr>
        <w:pStyle w:val="Affiliation"/>
      </w:pPr>
      <w:r w:rsidRPr="008B3E56">
        <w:rPr>
          <w:vertAlign w:val="superscript"/>
        </w:rPr>
        <w:t>a</w:t>
      </w:r>
      <w:r w:rsidRPr="008B3E56">
        <w:t xml:space="preserve"> </w:t>
      </w:r>
      <w:r w:rsidR="00500DF4">
        <w:t>CSIR</w:t>
      </w:r>
      <w:r w:rsidR="00F6083C" w:rsidRPr="00F6083C">
        <w:t xml:space="preserve"> </w:t>
      </w:r>
      <w:r w:rsidR="00500DF4">
        <w:t>–</w:t>
      </w:r>
      <w:r w:rsidR="00F6083C" w:rsidRPr="00F6083C">
        <w:t xml:space="preserve"> </w:t>
      </w:r>
      <w:r w:rsidR="00500DF4">
        <w:t>acooper@csir.co.za</w:t>
      </w:r>
      <w:r w:rsidR="00F6083C" w:rsidRPr="00F6083C">
        <w:t xml:space="preserve">, </w:t>
      </w:r>
      <w:r w:rsidR="00E00637" w:rsidRPr="00E00637">
        <w:rPr>
          <w:vertAlign w:val="superscript"/>
        </w:rPr>
        <w:t>b</w:t>
      </w:r>
      <w:r w:rsidR="00E00637">
        <w:t xml:space="preserve"> </w:t>
      </w:r>
      <w:r w:rsidR="00500DF4">
        <w:t>University of Pretoria</w:t>
      </w:r>
      <w:r w:rsidR="00F6083C" w:rsidRPr="00F6083C">
        <w:t xml:space="preserve"> </w:t>
      </w:r>
      <w:r w:rsidR="00500DF4">
        <w:t xml:space="preserve">– </w:t>
      </w:r>
      <w:r w:rsidR="00500DF4" w:rsidRPr="00500DF4">
        <w:t>serena.coetzee@up.ac.za</w:t>
      </w:r>
      <w:r w:rsidR="00F6083C" w:rsidRPr="00F6083C">
        <w:t xml:space="preserve">, </w:t>
      </w:r>
      <w:r w:rsidR="00E00637" w:rsidRPr="00E00637">
        <w:rPr>
          <w:vertAlign w:val="superscript"/>
        </w:rPr>
        <w:t>c</w:t>
      </w:r>
      <w:r w:rsidR="00E00637">
        <w:t xml:space="preserve"> Ohio State University</w:t>
      </w:r>
      <w:r w:rsidR="00F6083C" w:rsidRPr="00F6083C">
        <w:t xml:space="preserve"> </w:t>
      </w:r>
      <w:r w:rsidR="00E00637">
        <w:t xml:space="preserve">– </w:t>
      </w:r>
      <w:r w:rsidR="00E00637" w:rsidRPr="00E00637">
        <w:t>geohal+@osu.edu</w:t>
      </w:r>
    </w:p>
    <w:p w14:paraId="0B10C34B" w14:textId="69DD4A96" w:rsidR="00802000" w:rsidRPr="008B3E56" w:rsidRDefault="00802000" w:rsidP="00802000">
      <w:pPr>
        <w:pStyle w:val="Affiliation"/>
      </w:pPr>
      <w:r>
        <w:rPr>
          <w:vertAlign w:val="superscript"/>
        </w:rPr>
        <w:t>d</w:t>
      </w:r>
      <w:r w:rsidRPr="008B3E56">
        <w:t xml:space="preserve"> </w:t>
      </w:r>
      <w:r w:rsidRPr="00802000">
        <w:t>Technical University of Ostrava</w:t>
      </w:r>
      <w:r w:rsidRPr="00F6083C">
        <w:t xml:space="preserve"> </w:t>
      </w:r>
      <w:r>
        <w:t>–</w:t>
      </w:r>
      <w:r w:rsidRPr="00F6083C">
        <w:t xml:space="preserve"> </w:t>
      </w:r>
      <w:r w:rsidRPr="00802000">
        <w:t>petr.rapant@vsb.cz</w:t>
      </w:r>
      <w:r w:rsidRPr="00F6083C">
        <w:t xml:space="preserve">, </w:t>
      </w:r>
      <w:r w:rsidR="0005453A">
        <w:rPr>
          <w:vertAlign w:val="superscript"/>
        </w:rPr>
        <w:t>e</w:t>
      </w:r>
      <w:r>
        <w:t xml:space="preserve"> </w:t>
      </w:r>
      <w:r w:rsidR="0005453A">
        <w:t>KU Leuven</w:t>
      </w:r>
      <w:r w:rsidRPr="00F6083C">
        <w:t xml:space="preserve"> </w:t>
      </w:r>
      <w:r>
        <w:t xml:space="preserve">– </w:t>
      </w:r>
      <w:r w:rsidR="0005453A" w:rsidRPr="0005453A">
        <w:t>joep.crompvoets@kuleuven.be</w:t>
      </w:r>
    </w:p>
    <w:p w14:paraId="6672473A" w14:textId="3A1D9A4D" w:rsidR="0005453A" w:rsidRPr="008B3E56" w:rsidRDefault="00913373" w:rsidP="0005453A">
      <w:pPr>
        <w:pStyle w:val="Affiliation"/>
      </w:pPr>
      <w:r>
        <w:rPr>
          <w:vertAlign w:val="superscript"/>
        </w:rPr>
        <w:t>f</w:t>
      </w:r>
      <w:r w:rsidR="0005453A" w:rsidRPr="008B3E56">
        <w:t xml:space="preserve"> </w:t>
      </w:r>
      <w:r w:rsidRPr="00913373">
        <w:t>Agency for Data Supply and Efficiency</w:t>
      </w:r>
      <w:r w:rsidR="0005453A" w:rsidRPr="00F6083C">
        <w:t xml:space="preserve"> </w:t>
      </w:r>
      <w:r w:rsidR="0005453A">
        <w:t>–</w:t>
      </w:r>
      <w:r w:rsidR="0005453A" w:rsidRPr="00F6083C">
        <w:t xml:space="preserve"> </w:t>
      </w:r>
      <w:r w:rsidRPr="00913373">
        <w:t>jnh@sdfe.dk</w:t>
      </w:r>
      <w:r w:rsidR="0005453A" w:rsidRPr="00F6083C">
        <w:t xml:space="preserve">, </w:t>
      </w:r>
      <w:r w:rsidR="00886A89">
        <w:rPr>
          <w:vertAlign w:val="superscript"/>
        </w:rPr>
        <w:t>g</w:t>
      </w:r>
      <w:r w:rsidR="0005453A">
        <w:t xml:space="preserve"> </w:t>
      </w:r>
      <w:r w:rsidR="00886A89" w:rsidRPr="00886A89">
        <w:t xml:space="preserve">Universidad </w:t>
      </w:r>
      <w:proofErr w:type="spellStart"/>
      <w:r w:rsidR="00886A89" w:rsidRPr="00886A89">
        <w:t>Tecnológica</w:t>
      </w:r>
      <w:proofErr w:type="spellEnd"/>
      <w:r w:rsidR="00886A89" w:rsidRPr="00886A89">
        <w:t xml:space="preserve"> de la Habana</w:t>
      </w:r>
      <w:r w:rsidR="0005453A" w:rsidRPr="00F6083C">
        <w:t xml:space="preserve"> </w:t>
      </w:r>
      <w:r w:rsidR="0005453A">
        <w:t xml:space="preserve">– </w:t>
      </w:r>
      <w:r w:rsidR="00886A89" w:rsidRPr="00886A89">
        <w:t>tdelgado@ind.cujae.edu.cu</w:t>
      </w:r>
    </w:p>
    <w:p w14:paraId="5A3775A7" w14:textId="5D9D2AED" w:rsidR="00791C60" w:rsidRDefault="007D0D7B" w:rsidP="008B3E56">
      <w:pPr>
        <w:pStyle w:val="Affiliation"/>
      </w:pPr>
      <w:r>
        <w:rPr>
          <w:vertAlign w:val="superscript"/>
        </w:rPr>
        <w:t>h</w:t>
      </w:r>
      <w:r w:rsidR="00791C60" w:rsidRPr="008B3E56">
        <w:t xml:space="preserve"> </w:t>
      </w:r>
      <w:r w:rsidRPr="007D0D7B">
        <w:t>Wroclaw University of Environmental and Life Sciences</w:t>
      </w:r>
      <w:r w:rsidR="00F6083C" w:rsidRPr="00F6083C">
        <w:t xml:space="preserve"> </w:t>
      </w:r>
      <w:r>
        <w:t xml:space="preserve">– </w:t>
      </w:r>
      <w:r w:rsidRPr="007D0D7B">
        <w:t>mailto:adam.iwaniak@gmail.com</w:t>
      </w:r>
    </w:p>
    <w:p w14:paraId="1CA97271" w14:textId="77777777" w:rsidR="00664035" w:rsidRPr="006F7E0B" w:rsidRDefault="00664035" w:rsidP="00E16E89">
      <w:pPr>
        <w:pStyle w:val="Affiliation"/>
        <w:spacing w:before="160"/>
        <w:rPr>
          <w:i w:val="0"/>
        </w:rPr>
      </w:pPr>
      <w:r w:rsidRPr="006F7E0B">
        <w:rPr>
          <w:i w:val="0"/>
        </w:rPr>
        <w:t>* Corresponding author</w:t>
      </w:r>
    </w:p>
    <w:p w14:paraId="2B982CAC" w14:textId="77777777" w:rsidR="00791C60" w:rsidRPr="00E16E89" w:rsidRDefault="006E3D08" w:rsidP="006E3D08">
      <w:pPr>
        <w:pBdr>
          <w:bottom w:val="single" w:sz="6" w:space="1" w:color="auto"/>
        </w:pBdr>
        <w:spacing w:after="80"/>
        <w:rPr>
          <w:sz w:val="12"/>
          <w:szCs w:val="12"/>
        </w:rPr>
      </w:pPr>
      <w:r w:rsidRPr="00E16E89">
        <w:rPr>
          <w:sz w:val="12"/>
          <w:szCs w:val="12"/>
        </w:rPr>
        <w:t xml:space="preserve"> </w:t>
      </w:r>
    </w:p>
    <w:p w14:paraId="523F1E08" w14:textId="5F862B3D" w:rsidR="009B77B7" w:rsidRDefault="00791C60" w:rsidP="00E16E89">
      <w:pPr>
        <w:pStyle w:val="Abstracttext"/>
      </w:pPr>
      <w:r w:rsidRPr="009603A4">
        <w:rPr>
          <w:b/>
        </w:rPr>
        <w:t>Abstract</w:t>
      </w:r>
      <w:r w:rsidRPr="006634D7">
        <w:t>:</w:t>
      </w:r>
      <w:r w:rsidR="009603A4">
        <w:t xml:space="preserve"> </w:t>
      </w:r>
      <w:r w:rsidR="009B77B7" w:rsidRPr="009B77B7">
        <w:t xml:space="preserve">The Commission on SDI &amp; Standards (and its predecessors) of the International Cartographic Association (ICA) has developed formal models of a spatial data infrastructure (SDI), using the viewpoints of the Reference Model for Open Distributed Processing (RM-ODP) and the Unified </w:t>
      </w:r>
      <w:proofErr w:type="spellStart"/>
      <w:r w:rsidR="009B77B7" w:rsidRPr="009B77B7">
        <w:t>Modeling</w:t>
      </w:r>
      <w:proofErr w:type="spellEnd"/>
      <w:r w:rsidR="009B77B7" w:rsidRPr="009B77B7">
        <w:t xml:space="preserve"> Language (UML).  The Commission described an SDI from the Enterprise Viewpoint (purpose, </w:t>
      </w:r>
      <w:proofErr w:type="gramStart"/>
      <w:r w:rsidR="009B77B7" w:rsidRPr="009B77B7">
        <w:t>scope</w:t>
      </w:r>
      <w:proofErr w:type="gramEnd"/>
      <w:r w:rsidR="009B77B7" w:rsidRPr="009B77B7">
        <w:t xml:space="preserve"> and policies for an SDI), Information Viewpoint (semantics of information and information processing in an SDI) and Computational Viewpoint (functional decomposition of the SDI into a set of services that interact through interfaces).  The Enterprise Viewpoint model included six types of stakeholders in an SDI: Policy Maker, Producer, Provider, Broker, Value-added Reseller and End User.  Subsequently, the Commission identified 39 sub-types of these stakeholders, though a better description of them might be as specializations, special cases, attributes, </w:t>
      </w:r>
      <w:proofErr w:type="gramStart"/>
      <w:r w:rsidR="009B77B7" w:rsidRPr="009B77B7">
        <w:t>activities</w:t>
      </w:r>
      <w:proofErr w:type="gramEnd"/>
      <w:r w:rsidR="009B77B7" w:rsidRPr="009B77B7">
        <w:t xml:space="preserve"> or roles.</w:t>
      </w:r>
    </w:p>
    <w:p w14:paraId="3A69DE3C" w14:textId="7E92C46B" w:rsidR="009B77B7" w:rsidRDefault="009B77B7" w:rsidP="00E16E89">
      <w:pPr>
        <w:pStyle w:val="Abstracttext"/>
      </w:pPr>
      <w:r w:rsidRPr="009B77B7">
        <w:t xml:space="preserve">We have identified and reviewed all the literature that has referenced the Commission’s papers on the SDI models.  Most use the Commission’s papers for the definitions of an SDI and of the parts, </w:t>
      </w:r>
      <w:proofErr w:type="gramStart"/>
      <w:r w:rsidRPr="009B77B7">
        <w:t>processes</w:t>
      </w:r>
      <w:proofErr w:type="gramEnd"/>
      <w:r w:rsidRPr="009B77B7">
        <w:t xml:space="preserve"> and stakeholders in an SDI.  In this paper, we discuss all those that have applied the ICA SDI stakeholder model, proposed improvements to the model and/or highlighted parts of the model that are not well understood.  We also discuss some issues we identified when reviewing the models.  Subsequently, we plan on proposing some revisions and expansions on this ICA model of the stakeholders in a spatial data infrastructure.</w:t>
      </w:r>
    </w:p>
    <w:p w14:paraId="4FC2F3C4" w14:textId="5D7B0FF6" w:rsidR="00791C60" w:rsidRPr="006634D7" w:rsidRDefault="00791C60" w:rsidP="00E16E89">
      <w:pPr>
        <w:pStyle w:val="Keywords"/>
      </w:pPr>
      <w:r>
        <w:rPr>
          <w:b/>
        </w:rPr>
        <w:t>Keywords</w:t>
      </w:r>
      <w:r w:rsidRPr="006634D7">
        <w:rPr>
          <w:b/>
        </w:rPr>
        <w:t xml:space="preserve">: </w:t>
      </w:r>
      <w:r w:rsidR="009B77B7" w:rsidRPr="009B77B7">
        <w:t>spatial data infrastructure, SDI, stakeholder, ICA model</w:t>
      </w:r>
    </w:p>
    <w:p w14:paraId="050E855E" w14:textId="77777777" w:rsidR="00E331C5" w:rsidRPr="00E16E89" w:rsidRDefault="00E331C5" w:rsidP="00E16E89">
      <w:pPr>
        <w:pBdr>
          <w:bottom w:val="single" w:sz="6" w:space="1" w:color="auto"/>
        </w:pBdr>
        <w:spacing w:after="240"/>
        <w:rPr>
          <w:sz w:val="12"/>
          <w:szCs w:val="12"/>
        </w:rPr>
      </w:pPr>
    </w:p>
    <w:p w14:paraId="191F19F4" w14:textId="77777777" w:rsidR="006B20E5" w:rsidRPr="006E3D08" w:rsidRDefault="006B20E5" w:rsidP="007A6B63">
      <w:pPr>
        <w:rPr>
          <w:sz w:val="16"/>
          <w:szCs w:val="16"/>
        </w:rPr>
        <w:sectPr w:rsidR="006B20E5" w:rsidRPr="006E3D08" w:rsidSect="00393F02">
          <w:headerReference w:type="first" r:id="rId8"/>
          <w:type w:val="continuous"/>
          <w:pgSz w:w="11907" w:h="16840" w:code="9"/>
          <w:pgMar w:top="1418" w:right="1134" w:bottom="1588" w:left="1134" w:header="567" w:footer="1418" w:gutter="0"/>
          <w:pgNumType w:start="1"/>
          <w:cols w:space="357" w:equalWidth="0">
            <w:col w:w="9621" w:space="357"/>
          </w:cols>
          <w:titlePg/>
          <w:docGrid w:linePitch="245"/>
        </w:sectPr>
      </w:pPr>
    </w:p>
    <w:p w14:paraId="59335EF6" w14:textId="551338DE" w:rsidR="00C461F1" w:rsidRDefault="009B77B7" w:rsidP="005A1668">
      <w:pPr>
        <w:pStyle w:val="Heading1"/>
      </w:pPr>
      <w:r w:rsidRPr="009B77B7">
        <w:t>Overview of the ICA SDI models</w:t>
      </w:r>
    </w:p>
    <w:p w14:paraId="6071C9B7" w14:textId="77777777" w:rsidR="004C3A18" w:rsidRPr="00236D1F" w:rsidRDefault="004C3A18" w:rsidP="004C3A18">
      <w:pPr>
        <w:spacing w:after="0"/>
      </w:pPr>
      <w:r w:rsidRPr="00236D1F">
        <w:t xml:space="preserve">A </w:t>
      </w:r>
      <w:r w:rsidRPr="00236D1F">
        <w:rPr>
          <w:i/>
          <w:iCs/>
        </w:rPr>
        <w:t>spatial data infrastructure</w:t>
      </w:r>
      <w:r w:rsidRPr="00236D1F">
        <w:t xml:space="preserve"> (SDI) is an evolving concept about facilitating and coordinating the exchange and sharing of geospatial data and services between stakeholders from different levels in the geospatial data community (Hjelmager et al., 2008).  An SDI is more than just the technology of a distributed geographical information system (GIS): it is generally considered to be the collection of technologies, policies, institutional </w:t>
      </w:r>
      <w:proofErr w:type="gramStart"/>
      <w:r w:rsidRPr="00236D1F">
        <w:t>arrangements</w:t>
      </w:r>
      <w:proofErr w:type="gramEnd"/>
      <w:r w:rsidRPr="00236D1F">
        <w:t xml:space="preserve"> and stakeholders that facilitates the availability of, and access to, geospatial data and services.  An SDI can range from having a rigid, well-defined framework, to one that is fluid and unconstrained [</w:t>
      </w:r>
      <w:proofErr w:type="spellStart"/>
      <w:r w:rsidRPr="00236D1F">
        <w:t>Nebert</w:t>
      </w:r>
      <w:proofErr w:type="spellEnd"/>
      <w:r w:rsidRPr="00236D1F">
        <w:t xml:space="preserve"> 2004; Cooper </w:t>
      </w:r>
      <w:r w:rsidRPr="00236D1F">
        <w:rPr>
          <w:i/>
          <w:iCs/>
        </w:rPr>
        <w:t>et al</w:t>
      </w:r>
      <w:r w:rsidRPr="00236D1F">
        <w:t xml:space="preserve"> 2011].</w:t>
      </w:r>
    </w:p>
    <w:p w14:paraId="26DFC32F" w14:textId="77777777" w:rsidR="004C3A18" w:rsidRPr="00236D1F" w:rsidRDefault="004C3A18" w:rsidP="004C3A18">
      <w:pPr>
        <w:spacing w:after="0"/>
      </w:pPr>
      <w:r w:rsidRPr="00236D1F">
        <w:t xml:space="preserve">The Commission on SDI &amp; Standards (and its predecessors) of the International Cartographic Association (ICA) has developed formal models of an SDI, using three of the five viewpoints of the </w:t>
      </w:r>
      <w:r w:rsidRPr="00236D1F">
        <w:rPr>
          <w:i/>
        </w:rPr>
        <w:t xml:space="preserve">Reference Model for Open Distributed Processing </w:t>
      </w:r>
      <w:r w:rsidRPr="00236D1F">
        <w:t>(</w:t>
      </w:r>
      <w:r w:rsidRPr="00236D1F">
        <w:rPr>
          <w:i/>
        </w:rPr>
        <w:t>RM-ODP</w:t>
      </w:r>
      <w:r w:rsidRPr="00236D1F">
        <w:t xml:space="preserve">) [ISO 1998], </w:t>
      </w:r>
      <w:r w:rsidRPr="00236D1F">
        <w:t xml:space="preserve">and the </w:t>
      </w:r>
      <w:r w:rsidRPr="00236D1F">
        <w:rPr>
          <w:i/>
        </w:rPr>
        <w:t xml:space="preserve">Unified </w:t>
      </w:r>
      <w:proofErr w:type="spellStart"/>
      <w:r w:rsidRPr="00236D1F">
        <w:rPr>
          <w:i/>
        </w:rPr>
        <w:t>Modeling</w:t>
      </w:r>
      <w:proofErr w:type="spellEnd"/>
      <w:r w:rsidRPr="00236D1F">
        <w:rPr>
          <w:i/>
        </w:rPr>
        <w:t xml:space="preserve"> Language </w:t>
      </w:r>
      <w:r w:rsidRPr="00236D1F">
        <w:t>(</w:t>
      </w:r>
      <w:r w:rsidRPr="00236D1F">
        <w:rPr>
          <w:i/>
        </w:rPr>
        <w:t>UML</w:t>
      </w:r>
      <w:r w:rsidRPr="00236D1F">
        <w:t xml:space="preserve">) [ISO 2005] for the detailed modelling.  The Commission described an SDI from the </w:t>
      </w:r>
      <w:r w:rsidRPr="00236D1F">
        <w:rPr>
          <w:i/>
        </w:rPr>
        <w:t xml:space="preserve">Enterprise Viewpoint </w:t>
      </w:r>
      <w:r w:rsidRPr="00236D1F">
        <w:t xml:space="preserve">(purpose, </w:t>
      </w:r>
      <w:proofErr w:type="gramStart"/>
      <w:r w:rsidRPr="00236D1F">
        <w:t>scope</w:t>
      </w:r>
      <w:proofErr w:type="gramEnd"/>
      <w:r w:rsidRPr="00236D1F">
        <w:t xml:space="preserve"> and policies for an SDI) and </w:t>
      </w:r>
      <w:r w:rsidRPr="00236D1F">
        <w:rPr>
          <w:i/>
        </w:rPr>
        <w:t xml:space="preserve">Information Viewpoint </w:t>
      </w:r>
      <w:r w:rsidRPr="00236D1F">
        <w:t xml:space="preserve">(semantics of information and information processing in an SDI) of RM ODP [Hjelmager </w:t>
      </w:r>
      <w:r w:rsidRPr="00236D1F">
        <w:rPr>
          <w:i/>
          <w:iCs/>
        </w:rPr>
        <w:t>et al</w:t>
      </w:r>
      <w:r w:rsidRPr="00236D1F">
        <w:t xml:space="preserve"> 2008], and from the </w:t>
      </w:r>
      <w:r w:rsidRPr="00236D1F">
        <w:rPr>
          <w:i/>
        </w:rPr>
        <w:t xml:space="preserve">Computational Viewpoint </w:t>
      </w:r>
      <w:r w:rsidRPr="00236D1F">
        <w:t xml:space="preserve">(functional decomposition of the SDI into a set of services that interact through interfaces) [Cooper </w:t>
      </w:r>
      <w:r w:rsidRPr="00236D1F">
        <w:rPr>
          <w:i/>
          <w:iCs/>
        </w:rPr>
        <w:t>et al</w:t>
      </w:r>
      <w:r w:rsidRPr="00236D1F">
        <w:t xml:space="preserve"> 2012]. The Enterprise Viewpoint model included SDI </w:t>
      </w:r>
      <w:r w:rsidRPr="00236D1F">
        <w:rPr>
          <w:i/>
        </w:rPr>
        <w:t>stakeholders</w:t>
      </w:r>
      <w:r w:rsidRPr="00236D1F">
        <w:t>, defined as:</w:t>
      </w:r>
    </w:p>
    <w:p w14:paraId="714FAE93" w14:textId="77777777" w:rsidR="004C3A18" w:rsidRPr="00236D1F" w:rsidRDefault="004C3A18" w:rsidP="004C3A18">
      <w:pPr>
        <w:spacing w:after="0"/>
        <w:ind w:left="567" w:right="567"/>
      </w:pPr>
      <w:r w:rsidRPr="00236D1F">
        <w:rPr>
          <w:i/>
        </w:rPr>
        <w:t>An individual or group with an interest in the success of an SDI in delivering its intended results and maintaining the viability of its products. Stakeholders either affect the SDI or are affected by it</w:t>
      </w:r>
      <w:r w:rsidRPr="00236D1F">
        <w:t xml:space="preserve"> [Hjelmager </w:t>
      </w:r>
      <w:r w:rsidRPr="00236D1F">
        <w:rPr>
          <w:i/>
          <w:iCs/>
        </w:rPr>
        <w:t>et al</w:t>
      </w:r>
      <w:r w:rsidRPr="00236D1F">
        <w:t xml:space="preserve"> 2008]</w:t>
      </w:r>
      <w:r w:rsidRPr="00236D1F">
        <w:rPr>
          <w:rStyle w:val="FootnoteAnchor"/>
        </w:rPr>
        <w:footnoteReference w:id="1"/>
      </w:r>
      <w:r w:rsidRPr="00236D1F">
        <w:t>.</w:t>
      </w:r>
    </w:p>
    <w:p w14:paraId="43CB3910" w14:textId="77777777" w:rsidR="004C3A18" w:rsidRPr="00236D1F" w:rsidRDefault="004C3A18" w:rsidP="004C3A18">
      <w:pPr>
        <w:spacing w:after="0"/>
      </w:pPr>
      <w:r w:rsidRPr="00236D1F">
        <w:t xml:space="preserve">The ICA Commission did not investigate the </w:t>
      </w:r>
      <w:r w:rsidRPr="00236D1F">
        <w:rPr>
          <w:i/>
        </w:rPr>
        <w:t xml:space="preserve">Engineering </w:t>
      </w:r>
      <w:r w:rsidRPr="00236D1F">
        <w:t xml:space="preserve">and </w:t>
      </w:r>
      <w:r w:rsidRPr="00236D1F">
        <w:rPr>
          <w:i/>
        </w:rPr>
        <w:t xml:space="preserve">Technology Viewpoints </w:t>
      </w:r>
      <w:r w:rsidRPr="00236D1F">
        <w:t xml:space="preserve">of an SDI, because they are implementation-specific, and the Commission has aimed at providing technology-independent models for an SDI </w:t>
      </w:r>
      <w:r w:rsidRPr="00236D1F">
        <w:lastRenderedPageBreak/>
        <w:t xml:space="preserve">[Cooper et al 2012].  Others have looked at the Engineering and Technology Viewpoints, such as for the corporate SDI for a power company [Oliveira </w:t>
      </w:r>
      <w:r w:rsidRPr="00236D1F">
        <w:rPr>
          <w:i/>
          <w:iCs/>
        </w:rPr>
        <w:t>et al</w:t>
      </w:r>
      <w:r w:rsidRPr="00236D1F">
        <w:t xml:space="preserve"> 2017; Torres </w:t>
      </w:r>
      <w:r w:rsidRPr="00236D1F">
        <w:rPr>
          <w:i/>
          <w:iCs/>
        </w:rPr>
        <w:t>et al</w:t>
      </w:r>
      <w:r w:rsidRPr="00236D1F">
        <w:t xml:space="preserve"> 2017a; Torres </w:t>
      </w:r>
      <w:r w:rsidRPr="00236D1F">
        <w:rPr>
          <w:i/>
          <w:iCs/>
        </w:rPr>
        <w:t>et al</w:t>
      </w:r>
      <w:r w:rsidRPr="00236D1F">
        <w:t xml:space="preserve"> 2017b].  Unsurprisingly, they also modelled this corporate SDI from the other three viewpoints [Oliveira </w:t>
      </w:r>
      <w:r w:rsidRPr="00236D1F">
        <w:rPr>
          <w:i/>
          <w:iCs/>
        </w:rPr>
        <w:t>et al</w:t>
      </w:r>
      <w:r w:rsidRPr="00236D1F">
        <w:t xml:space="preserve"> 2016a; Oliveira </w:t>
      </w:r>
      <w:r w:rsidRPr="00236D1F">
        <w:rPr>
          <w:i/>
          <w:iCs/>
        </w:rPr>
        <w:t>et al</w:t>
      </w:r>
      <w:r w:rsidRPr="00236D1F">
        <w:t xml:space="preserve"> 2016b].</w:t>
      </w:r>
    </w:p>
    <w:p w14:paraId="7D721F0D" w14:textId="77777777" w:rsidR="004C3A18" w:rsidRPr="00236D1F" w:rsidRDefault="004C3A18" w:rsidP="004C3A18">
      <w:pPr>
        <w:spacing w:after="0"/>
      </w:pPr>
      <w:r w:rsidRPr="00236D1F">
        <w:t xml:space="preserve">Six types of stakeholders were identified by the Commission [Hjelmager </w:t>
      </w:r>
      <w:r w:rsidRPr="00236D1F">
        <w:rPr>
          <w:i/>
          <w:iCs/>
        </w:rPr>
        <w:t>et al</w:t>
      </w:r>
      <w:r w:rsidRPr="00236D1F">
        <w:t xml:space="preserve"> 2008].  Any one person, group, </w:t>
      </w:r>
      <w:proofErr w:type="gramStart"/>
      <w:r w:rsidRPr="00236D1F">
        <w:t>committee</w:t>
      </w:r>
      <w:proofErr w:type="gramEnd"/>
      <w:r w:rsidRPr="00236D1F">
        <w:t xml:space="preserve"> or organisation can play multiple stakeholder roles, which could be done simultaneously.  A stakeholder in an SDI could also be an </w:t>
      </w:r>
      <w:r w:rsidRPr="00236D1F">
        <w:rPr>
          <w:i/>
        </w:rPr>
        <w:t xml:space="preserve">actor </w:t>
      </w:r>
      <w:r w:rsidRPr="00236D1F">
        <w:t xml:space="preserve">{Oliveira &amp; </w:t>
      </w:r>
      <w:proofErr w:type="spellStart"/>
      <w:r w:rsidRPr="00236D1F">
        <w:t>Lisboa</w:t>
      </w:r>
      <w:proofErr w:type="spellEnd"/>
      <w:r w:rsidRPr="00236D1F">
        <w:t>-Filho 2015].  A stakeholder could be active or passive in each of its roles, etc.  The types of stakeholders are:</w:t>
      </w:r>
    </w:p>
    <w:p w14:paraId="1E1E3F4B" w14:textId="77777777" w:rsidR="004C3A18" w:rsidRPr="00236D1F" w:rsidRDefault="004C3A18" w:rsidP="004C3A18">
      <w:pPr>
        <w:spacing w:after="0"/>
        <w:ind w:left="851" w:hanging="567"/>
      </w:pPr>
      <w:r w:rsidRPr="00236D1F">
        <w:rPr>
          <w:b/>
        </w:rPr>
        <w:t>Policy maker</w:t>
      </w:r>
      <w:r w:rsidRPr="00236D1F">
        <w:t>: A stakeholder who sets the policy pursued by an SDI and all its stakeholders.</w:t>
      </w:r>
    </w:p>
    <w:p w14:paraId="096EE69B" w14:textId="77777777" w:rsidR="004C3A18" w:rsidRPr="00236D1F" w:rsidRDefault="004C3A18" w:rsidP="004C3A18">
      <w:pPr>
        <w:spacing w:after="0"/>
        <w:ind w:left="851" w:hanging="567"/>
      </w:pPr>
      <w:r w:rsidRPr="00236D1F">
        <w:rPr>
          <w:b/>
        </w:rPr>
        <w:t>Producer</w:t>
      </w:r>
      <w:r w:rsidRPr="00236D1F">
        <w:t>: A stakeholder who produces SDI data or services.</w:t>
      </w:r>
    </w:p>
    <w:p w14:paraId="7E919149" w14:textId="77777777" w:rsidR="004C3A18" w:rsidRPr="00236D1F" w:rsidRDefault="004C3A18" w:rsidP="004C3A18">
      <w:pPr>
        <w:spacing w:after="0"/>
        <w:ind w:left="851" w:hanging="567"/>
      </w:pPr>
      <w:r w:rsidRPr="00236D1F">
        <w:rPr>
          <w:b/>
        </w:rPr>
        <w:t>Provider</w:t>
      </w:r>
      <w:r w:rsidRPr="00236D1F">
        <w:t>: A stakeholder who provides data or services to users through an SDI.</w:t>
      </w:r>
    </w:p>
    <w:p w14:paraId="317F9A93" w14:textId="77777777" w:rsidR="004C3A18" w:rsidRPr="00236D1F" w:rsidRDefault="004C3A18" w:rsidP="004C3A18">
      <w:pPr>
        <w:spacing w:after="0"/>
        <w:ind w:left="851" w:hanging="567"/>
      </w:pPr>
      <w:r w:rsidRPr="00236D1F">
        <w:rPr>
          <w:b/>
        </w:rPr>
        <w:t>Broker</w:t>
      </w:r>
      <w:r w:rsidRPr="00236D1F">
        <w:t>: A stakeholder who brings users and providers together and assists in the negotiation of contracts between them.  They are specialised publishers and can maintain metadata records on behalf of an owner of a product.  Their functions include harvesting metadata from producers and providers, creating catalogues and providing services based on these catalogues.</w:t>
      </w:r>
    </w:p>
    <w:p w14:paraId="0759D964" w14:textId="77777777" w:rsidR="004C3A18" w:rsidRPr="00236D1F" w:rsidRDefault="004C3A18" w:rsidP="004C3A18">
      <w:pPr>
        <w:spacing w:after="0"/>
        <w:ind w:left="851" w:hanging="567"/>
      </w:pPr>
      <w:r w:rsidRPr="00236D1F">
        <w:rPr>
          <w:b/>
        </w:rPr>
        <w:t>Value-added reseller (VAR)</w:t>
      </w:r>
      <w:r w:rsidRPr="00236D1F">
        <w:t>: A stakeholder who adds some new feature to an existing product or group of products, and then makes it available as a new product.</w:t>
      </w:r>
    </w:p>
    <w:p w14:paraId="1CF57898" w14:textId="77777777" w:rsidR="004C3A18" w:rsidRPr="00236D1F" w:rsidRDefault="004C3A18" w:rsidP="004C3A18">
      <w:pPr>
        <w:spacing w:after="0"/>
        <w:ind w:left="851" w:hanging="567"/>
      </w:pPr>
      <w:r w:rsidRPr="00236D1F">
        <w:rPr>
          <w:b/>
        </w:rPr>
        <w:t>End user</w:t>
      </w:r>
      <w:r w:rsidRPr="00236D1F">
        <w:t>: A stakeholder who uses the SDI for its intended purpose (Hjelmager et al., 2008).</w:t>
      </w:r>
    </w:p>
    <w:p w14:paraId="3A827C70" w14:textId="77777777" w:rsidR="004C3A18" w:rsidRPr="00236D1F" w:rsidRDefault="004C3A18" w:rsidP="004C3A18">
      <w:pPr>
        <w:spacing w:after="0"/>
      </w:pPr>
      <w:r w:rsidRPr="00236D1F">
        <w:t xml:space="preserve">In retrospect, the definition of the </w:t>
      </w:r>
      <w:r w:rsidRPr="00236D1F">
        <w:rPr>
          <w:i/>
        </w:rPr>
        <w:t xml:space="preserve">Producer </w:t>
      </w:r>
      <w:r w:rsidRPr="00236D1F">
        <w:t xml:space="preserve">should have included the production of metadata as well, and the differences between a </w:t>
      </w:r>
      <w:r w:rsidRPr="00236D1F">
        <w:rPr>
          <w:i/>
          <w:iCs/>
        </w:rPr>
        <w:t>Broker</w:t>
      </w:r>
      <w:r w:rsidRPr="00236D1F">
        <w:t xml:space="preserve"> and a </w:t>
      </w:r>
      <w:r w:rsidRPr="00236D1F">
        <w:rPr>
          <w:i/>
          <w:iCs/>
        </w:rPr>
        <w:t>VAR</w:t>
      </w:r>
      <w:r w:rsidRPr="00236D1F">
        <w:t xml:space="preserve"> should have been made more obvious.</w:t>
      </w:r>
    </w:p>
    <w:p w14:paraId="258B7BBC" w14:textId="77777777" w:rsidR="004C3A18" w:rsidRPr="00236D1F" w:rsidRDefault="004C3A18" w:rsidP="004C3A18">
      <w:pPr>
        <w:spacing w:after="0"/>
      </w:pPr>
      <w:r w:rsidRPr="00236D1F">
        <w:t xml:space="preserve">Subsequently, the Commission assessed if these SDI models catered for user-generated content, or volunteered geographical information (VGI), and found the models are sufficiently robust to do so [Cooper </w:t>
      </w:r>
      <w:r w:rsidRPr="00236D1F">
        <w:rPr>
          <w:i/>
          <w:iCs/>
        </w:rPr>
        <w:t>et al</w:t>
      </w:r>
      <w:r w:rsidRPr="00236D1F">
        <w:t xml:space="preserve"> 2011].  However, the Commission realised that the SDI stakeholders needed to be described in more detail as </w:t>
      </w:r>
      <w:r w:rsidRPr="00236D1F">
        <w:rPr>
          <w:i/>
        </w:rPr>
        <w:t xml:space="preserve">specializations </w:t>
      </w:r>
      <w:r w:rsidRPr="00236D1F">
        <w:t xml:space="preserve">or </w:t>
      </w:r>
      <w:r w:rsidRPr="00236D1F">
        <w:rPr>
          <w:i/>
        </w:rPr>
        <w:t xml:space="preserve">subtypes </w:t>
      </w:r>
      <w:r w:rsidRPr="00236D1F">
        <w:t xml:space="preserve">or </w:t>
      </w:r>
      <w:r w:rsidRPr="00236D1F">
        <w:rPr>
          <w:i/>
        </w:rPr>
        <w:t xml:space="preserve">special cases </w:t>
      </w:r>
      <w:r w:rsidRPr="00236D1F">
        <w:t>of the general roles of the six types of SDI stakeholders.  The Commission identified 39 subtypes</w:t>
      </w:r>
      <w:r w:rsidRPr="00236D1F">
        <w:rPr>
          <w:rStyle w:val="FootnoteReference"/>
        </w:rPr>
        <w:footnoteReference w:id="2"/>
      </w:r>
      <w:r w:rsidRPr="00236D1F">
        <w:t xml:space="preserve"> for the stakeholders, with several of these subtypes having further sub-subtypes.  For example, a </w:t>
      </w:r>
      <w:r w:rsidRPr="00236D1F">
        <w:rPr>
          <w:i/>
        </w:rPr>
        <w:t xml:space="preserve">Producer </w:t>
      </w:r>
      <w:r w:rsidRPr="00236D1F">
        <w:t xml:space="preserve">could have a subtype </w:t>
      </w:r>
      <w:r w:rsidRPr="00236D1F">
        <w:rPr>
          <w:i/>
        </w:rPr>
        <w:t>Status</w:t>
      </w:r>
      <w:r w:rsidRPr="00236D1F">
        <w:t xml:space="preserve">, which in turn could have the subtypes </w:t>
      </w:r>
      <w:r w:rsidRPr="00236D1F">
        <w:rPr>
          <w:i/>
        </w:rPr>
        <w:t>Official Mapping Agency</w:t>
      </w:r>
      <w:r w:rsidRPr="00236D1F">
        <w:t xml:space="preserve">, </w:t>
      </w:r>
      <w:r w:rsidRPr="00236D1F">
        <w:rPr>
          <w:i/>
        </w:rPr>
        <w:t>Commercial Mapping Agency</w:t>
      </w:r>
      <w:r w:rsidRPr="00236D1F">
        <w:t xml:space="preserve">, </w:t>
      </w:r>
      <w:r w:rsidRPr="00236D1F">
        <w:rPr>
          <w:i/>
        </w:rPr>
        <w:t xml:space="preserve">Community Interest </w:t>
      </w:r>
      <w:r w:rsidRPr="00236D1F">
        <w:t xml:space="preserve">or </w:t>
      </w:r>
      <w:r w:rsidRPr="00236D1F">
        <w:rPr>
          <w:i/>
        </w:rPr>
        <w:t>Crowd Source</w:t>
      </w:r>
      <w:r w:rsidRPr="00236D1F">
        <w:t xml:space="preserve"> [Cooper </w:t>
      </w:r>
      <w:r w:rsidRPr="00236D1F">
        <w:rPr>
          <w:i/>
          <w:iCs/>
        </w:rPr>
        <w:t>et al</w:t>
      </w:r>
      <w:r w:rsidRPr="00236D1F">
        <w:t xml:space="preserve"> 2011].</w:t>
      </w:r>
    </w:p>
    <w:p w14:paraId="44840730" w14:textId="77777777" w:rsidR="004C3A18" w:rsidRPr="00236D1F" w:rsidRDefault="004C3A18" w:rsidP="004C3A18">
      <w:pPr>
        <w:spacing w:after="0"/>
      </w:pPr>
      <w:r w:rsidRPr="00236D1F">
        <w:t xml:space="preserve">Collectively, the ICA Commission’s Enterprise, Information and Computational Viewpoints and the detailed stakeholders form what is known colloquially in the literature as the </w:t>
      </w:r>
      <w:r w:rsidRPr="00236D1F">
        <w:rPr>
          <w:i/>
        </w:rPr>
        <w:t xml:space="preserve">ICA model </w:t>
      </w:r>
      <w:r w:rsidRPr="00236D1F">
        <w:t xml:space="preserve">or </w:t>
      </w:r>
      <w:r w:rsidRPr="00236D1F">
        <w:rPr>
          <w:i/>
        </w:rPr>
        <w:t xml:space="preserve">ICA’s formal model </w:t>
      </w:r>
      <w:r w:rsidRPr="00236D1F">
        <w:t xml:space="preserve">of </w:t>
      </w:r>
      <w:r w:rsidRPr="00236D1F">
        <w:t xml:space="preserve">an SDI, such as by [Box 2013; Oliveira </w:t>
      </w:r>
      <w:r w:rsidRPr="00236D1F">
        <w:rPr>
          <w:i/>
          <w:iCs/>
        </w:rPr>
        <w:t>et al 2016a</w:t>
      </w:r>
      <w:r w:rsidRPr="00236D1F">
        <w:t xml:space="preserve">; Torres </w:t>
      </w:r>
      <w:r w:rsidRPr="00236D1F">
        <w:rPr>
          <w:i/>
          <w:iCs/>
        </w:rPr>
        <w:t>et al</w:t>
      </w:r>
      <w:r w:rsidRPr="00236D1F">
        <w:t xml:space="preserve"> 2017a].  This paper presents a review of all the literature that has referenced the ICA Commission’s papers on the SDI models.  Note that the ICA models are </w:t>
      </w:r>
      <w:r w:rsidRPr="00236D1F">
        <w:rPr>
          <w:i/>
          <w:iCs/>
        </w:rPr>
        <w:t>descriptive</w:t>
      </w:r>
      <w:r w:rsidRPr="00236D1F">
        <w:t xml:space="preserve"> and are not meant to be </w:t>
      </w:r>
      <w:r w:rsidRPr="00236D1F">
        <w:rPr>
          <w:i/>
          <w:iCs/>
        </w:rPr>
        <w:t>prescriptive</w:t>
      </w:r>
      <w:r w:rsidRPr="00236D1F">
        <w:t>, and they are implementation-independent and hence somewhat abstract.</w:t>
      </w:r>
    </w:p>
    <w:p w14:paraId="32E6EF29" w14:textId="33080B97" w:rsidR="004C3A18" w:rsidRDefault="004C3A18" w:rsidP="003B4FCD">
      <w:pPr>
        <w:spacing w:after="0"/>
      </w:pPr>
      <w:r w:rsidRPr="00236D1F">
        <w:t xml:space="preserve">Most of the literature uses the Commission’s papers for the definitions of an SDI and of the parts, </w:t>
      </w:r>
      <w:proofErr w:type="gramStart"/>
      <w:r w:rsidRPr="00236D1F">
        <w:t>processes</w:t>
      </w:r>
      <w:proofErr w:type="gramEnd"/>
      <w:r w:rsidRPr="00236D1F">
        <w:t xml:space="preserve"> and stakeholders in an SDI.  In this paper, we discuss only all those that have applied the ICA SDI stakeholder models, proposed improvements to the models and/or highlighted parts of the models that are not well understood.  We also discuss below further issues the members of the Commission have identified when reviewing the models.  Subsequently, we plan on proposing some revisions and expansions on this ICA model of the stakeholders in an SDI.</w:t>
      </w:r>
    </w:p>
    <w:p w14:paraId="10588A0F" w14:textId="17CBADA8" w:rsidR="00F54A82" w:rsidRDefault="000B16E3" w:rsidP="003B4FCD">
      <w:pPr>
        <w:pStyle w:val="Heading1"/>
      </w:pPr>
      <w:r>
        <w:t>Suggestions</w:t>
      </w:r>
      <w:r w:rsidR="00F54A82">
        <w:t xml:space="preserve"> from the literature</w:t>
      </w:r>
    </w:p>
    <w:p w14:paraId="4F8F09AD" w14:textId="77777777" w:rsidR="00F54A82" w:rsidRDefault="00F54A82" w:rsidP="003B4FCD">
      <w:pPr>
        <w:pStyle w:val="Heading2"/>
      </w:pPr>
      <w:r>
        <w:t xml:space="preserve">The SDI model of </w:t>
      </w:r>
      <w:proofErr w:type="spellStart"/>
      <w:r>
        <w:t>Bejar</w:t>
      </w:r>
      <w:proofErr w:type="spellEnd"/>
      <w:r>
        <w:t xml:space="preserve"> </w:t>
      </w:r>
      <w:r w:rsidRPr="003B4FCD">
        <w:rPr>
          <w:i/>
          <w:iCs/>
        </w:rPr>
        <w:t>et al</w:t>
      </w:r>
      <w:r>
        <w:t xml:space="preserve"> [2012]</w:t>
      </w:r>
    </w:p>
    <w:p w14:paraId="19173A0D" w14:textId="2B0EA302" w:rsidR="003B4FCD" w:rsidRPr="002D05D8" w:rsidRDefault="003B4FCD" w:rsidP="003B4FCD">
      <w:pPr>
        <w:spacing w:after="0"/>
      </w:pPr>
      <w:proofErr w:type="spellStart"/>
      <w:r w:rsidRPr="002D05D8">
        <w:t>Bejar</w:t>
      </w:r>
      <w:proofErr w:type="spellEnd"/>
      <w:r w:rsidRPr="002D05D8">
        <w:t xml:space="preserve"> </w:t>
      </w:r>
      <w:r w:rsidRPr="002D05D8">
        <w:rPr>
          <w:i/>
          <w:iCs/>
        </w:rPr>
        <w:t>et al</w:t>
      </w:r>
      <w:r w:rsidRPr="002D05D8">
        <w:t xml:space="preserve"> [2012] extended the ICA model to cater for relationships amongst different SDIs and amongst the stakeholders participating in them.  They used the term </w:t>
      </w:r>
      <w:r w:rsidRPr="002D05D8">
        <w:rPr>
          <w:i/>
        </w:rPr>
        <w:t xml:space="preserve">actor </w:t>
      </w:r>
      <w:r w:rsidRPr="002D05D8">
        <w:t xml:space="preserve">for the stakeholders and identified 12 </w:t>
      </w:r>
      <w:r w:rsidRPr="002D05D8">
        <w:rPr>
          <w:i/>
        </w:rPr>
        <w:t>actor role types</w:t>
      </w:r>
      <w:r w:rsidRPr="002D05D8">
        <w:t xml:space="preserve">.  The authors probably had not seen the expanded ICA stakeholder model [Cooper </w:t>
      </w:r>
      <w:r w:rsidRPr="002D05D8">
        <w:rPr>
          <w:i/>
          <w:iCs/>
        </w:rPr>
        <w:t>et al</w:t>
      </w:r>
      <w:r w:rsidRPr="002D05D8">
        <w:t xml:space="preserve"> 2011] by the time they submitted their paper.  Oliveira &amp; </w:t>
      </w:r>
      <w:proofErr w:type="spellStart"/>
      <w:r w:rsidRPr="002D05D8">
        <w:t>Lisboa</w:t>
      </w:r>
      <w:proofErr w:type="spellEnd"/>
      <w:r w:rsidRPr="002D05D8">
        <w:t xml:space="preserve">-Filho [2015] also compared these actors of </w:t>
      </w:r>
      <w:proofErr w:type="spellStart"/>
      <w:r w:rsidRPr="002D05D8">
        <w:t>Bejar</w:t>
      </w:r>
      <w:proofErr w:type="spellEnd"/>
      <w:r w:rsidRPr="002D05D8">
        <w:t xml:space="preserve"> </w:t>
      </w:r>
      <w:r w:rsidRPr="002D05D8">
        <w:rPr>
          <w:i/>
          <w:iCs/>
        </w:rPr>
        <w:t>et al</w:t>
      </w:r>
      <w:r w:rsidRPr="002D05D8">
        <w:t xml:space="preserve"> [2012] to the stakeholders in the ICA SDI model.  These 12 actor role types [</w:t>
      </w:r>
      <w:proofErr w:type="spellStart"/>
      <w:r w:rsidRPr="002D05D8">
        <w:t>Bejar</w:t>
      </w:r>
      <w:proofErr w:type="spellEnd"/>
      <w:r w:rsidRPr="002D05D8">
        <w:t xml:space="preserve"> </w:t>
      </w:r>
      <w:r w:rsidRPr="002D05D8">
        <w:rPr>
          <w:i/>
          <w:iCs/>
        </w:rPr>
        <w:t>et al</w:t>
      </w:r>
      <w:r w:rsidRPr="002D05D8">
        <w:t xml:space="preserve"> 2012] are presented here.</w:t>
      </w:r>
    </w:p>
    <w:p w14:paraId="2B1AB8B9" w14:textId="77777777" w:rsidR="003B4FCD" w:rsidRPr="002D05D8" w:rsidRDefault="003B4FCD" w:rsidP="003B4FCD">
      <w:pPr>
        <w:spacing w:after="0"/>
        <w:ind w:left="851" w:hanging="567"/>
      </w:pPr>
      <w:r w:rsidRPr="002D05D8">
        <w:rPr>
          <w:b/>
        </w:rPr>
        <w:t>User</w:t>
      </w:r>
      <w:r w:rsidRPr="002D05D8">
        <w:t xml:space="preserve">: this is the same as the </w:t>
      </w:r>
      <w:r w:rsidRPr="002D05D8">
        <w:rPr>
          <w:i/>
        </w:rPr>
        <w:t xml:space="preserve">User </w:t>
      </w:r>
      <w:r w:rsidRPr="002D05D8">
        <w:t>in the ICA model.</w:t>
      </w:r>
    </w:p>
    <w:p w14:paraId="3B2D6D4B" w14:textId="77777777" w:rsidR="003B4FCD" w:rsidRPr="002D05D8" w:rsidRDefault="003B4FCD" w:rsidP="003B4FCD">
      <w:pPr>
        <w:spacing w:after="0"/>
        <w:ind w:left="851" w:hanging="567"/>
      </w:pPr>
      <w:r w:rsidRPr="002D05D8">
        <w:rPr>
          <w:b/>
        </w:rPr>
        <w:t>Contributor</w:t>
      </w:r>
      <w:r w:rsidRPr="002D05D8">
        <w:t xml:space="preserve">: who contributes and/or withdraws assets (datasets or services) to or from the SDI and is hence a </w:t>
      </w:r>
      <w:r w:rsidRPr="002D05D8">
        <w:rPr>
          <w:i/>
        </w:rPr>
        <w:t xml:space="preserve">Provider </w:t>
      </w:r>
      <w:r w:rsidRPr="002D05D8">
        <w:t xml:space="preserve">in the ICA model.  Note that the </w:t>
      </w:r>
      <w:r w:rsidRPr="002D05D8">
        <w:rPr>
          <w:i/>
        </w:rPr>
        <w:t xml:space="preserve">Contributor </w:t>
      </w:r>
      <w:r w:rsidRPr="002D05D8">
        <w:t>controls their assets explicitly.</w:t>
      </w:r>
    </w:p>
    <w:p w14:paraId="58C6B926" w14:textId="77777777" w:rsidR="003B4FCD" w:rsidRPr="002D05D8" w:rsidRDefault="003B4FCD" w:rsidP="003B4FCD">
      <w:pPr>
        <w:spacing w:after="0"/>
        <w:ind w:left="851" w:hanging="567"/>
      </w:pPr>
      <w:r w:rsidRPr="002D05D8">
        <w:rPr>
          <w:b/>
        </w:rPr>
        <w:t>Custodian</w:t>
      </w:r>
      <w:r w:rsidRPr="002D05D8">
        <w:t xml:space="preserve">: this is the same as the </w:t>
      </w:r>
      <w:r w:rsidRPr="002D05D8">
        <w:rPr>
          <w:i/>
        </w:rPr>
        <w:t xml:space="preserve">Producer </w:t>
      </w:r>
      <w:r w:rsidRPr="002D05D8">
        <w:t>in the ICA model.</w:t>
      </w:r>
    </w:p>
    <w:p w14:paraId="5AB9DE04" w14:textId="77777777" w:rsidR="003B4FCD" w:rsidRPr="002D05D8" w:rsidRDefault="003B4FCD" w:rsidP="003B4FCD">
      <w:pPr>
        <w:spacing w:after="0"/>
        <w:ind w:left="851" w:hanging="567"/>
      </w:pPr>
      <w:r w:rsidRPr="002D05D8">
        <w:rPr>
          <w:b/>
        </w:rPr>
        <w:t>Governing body</w:t>
      </w:r>
      <w:r w:rsidRPr="002D05D8">
        <w:t xml:space="preserve">: this is the same as the </w:t>
      </w:r>
      <w:r w:rsidRPr="002D05D8">
        <w:rPr>
          <w:i/>
        </w:rPr>
        <w:t xml:space="preserve">Policy Maker </w:t>
      </w:r>
      <w:r w:rsidRPr="002D05D8">
        <w:t>in the ICA model.</w:t>
      </w:r>
    </w:p>
    <w:p w14:paraId="278718EB" w14:textId="77777777" w:rsidR="003B4FCD" w:rsidRPr="002D05D8" w:rsidRDefault="003B4FCD" w:rsidP="003B4FCD">
      <w:pPr>
        <w:spacing w:after="0"/>
        <w:ind w:left="851" w:hanging="567"/>
      </w:pPr>
      <w:r w:rsidRPr="002D05D8">
        <w:rPr>
          <w:b/>
        </w:rPr>
        <w:t>Operational body</w:t>
      </w:r>
      <w:r w:rsidRPr="002D05D8">
        <w:t xml:space="preserve">: this is the same as the </w:t>
      </w:r>
      <w:r w:rsidRPr="002D05D8">
        <w:rPr>
          <w:i/>
        </w:rPr>
        <w:t>Secretariat</w:t>
      </w:r>
      <w:r w:rsidRPr="002D05D8">
        <w:t xml:space="preserve">, a subtype of the </w:t>
      </w:r>
      <w:r w:rsidRPr="002D05D8">
        <w:rPr>
          <w:i/>
          <w:iCs/>
        </w:rPr>
        <w:t>Policy Maker</w:t>
      </w:r>
      <w:r w:rsidRPr="002D05D8">
        <w:t xml:space="preserve"> in the ICA model.</w:t>
      </w:r>
    </w:p>
    <w:p w14:paraId="04D3C492" w14:textId="77777777" w:rsidR="003B4FCD" w:rsidRPr="002D05D8" w:rsidRDefault="003B4FCD" w:rsidP="003B4FCD">
      <w:pPr>
        <w:spacing w:after="0"/>
        <w:ind w:left="851" w:hanging="567"/>
      </w:pPr>
      <w:r w:rsidRPr="002D05D8">
        <w:rPr>
          <w:b/>
        </w:rPr>
        <w:t>Contact</w:t>
      </w:r>
      <w:r w:rsidRPr="002D05D8">
        <w:t xml:space="preserve">: who represents a community in their interactions with other SDIs, with some similarities with the </w:t>
      </w:r>
      <w:r w:rsidRPr="002D05D8">
        <w:rPr>
          <w:i/>
        </w:rPr>
        <w:t xml:space="preserve">Broker </w:t>
      </w:r>
      <w:r w:rsidRPr="002D05D8">
        <w:t>in the ICA model [</w:t>
      </w:r>
      <w:proofErr w:type="spellStart"/>
      <w:r w:rsidRPr="002D05D8">
        <w:t>Bejar</w:t>
      </w:r>
      <w:proofErr w:type="spellEnd"/>
      <w:r w:rsidRPr="002D05D8">
        <w:t xml:space="preserve"> </w:t>
      </w:r>
      <w:r w:rsidRPr="002D05D8">
        <w:rPr>
          <w:i/>
          <w:iCs/>
        </w:rPr>
        <w:t>et al</w:t>
      </w:r>
      <w:r w:rsidRPr="002D05D8">
        <w:t xml:space="preserve"> 2012].  However, this actor’s activities probably also overlap with those of other stakeholders, such as the </w:t>
      </w:r>
      <w:r w:rsidRPr="002D05D8">
        <w:rPr>
          <w:i/>
        </w:rPr>
        <w:t xml:space="preserve">Decision Maker </w:t>
      </w:r>
      <w:r w:rsidRPr="002D05D8">
        <w:t xml:space="preserve">and the </w:t>
      </w:r>
      <w:r w:rsidRPr="002D05D8">
        <w:rPr>
          <w:i/>
        </w:rPr>
        <w:t>Champion</w:t>
      </w:r>
      <w:r w:rsidRPr="002D05D8">
        <w:t xml:space="preserve">.  Hence, it might be useful to add the </w:t>
      </w:r>
      <w:r w:rsidRPr="002D05D8">
        <w:rPr>
          <w:i/>
        </w:rPr>
        <w:t xml:space="preserve">Contact </w:t>
      </w:r>
      <w:r w:rsidRPr="002D05D8">
        <w:t>separately to the ICA model, perhaps as a subtype.</w:t>
      </w:r>
    </w:p>
    <w:p w14:paraId="4B28B64F" w14:textId="77777777" w:rsidR="003B4FCD" w:rsidRPr="002D05D8" w:rsidRDefault="003B4FCD" w:rsidP="003B4FCD">
      <w:pPr>
        <w:spacing w:after="0"/>
        <w:ind w:left="851" w:hanging="567"/>
      </w:pPr>
      <w:r w:rsidRPr="002D05D8">
        <w:rPr>
          <w:b/>
        </w:rPr>
        <w:t>Educator</w:t>
      </w:r>
      <w:r w:rsidRPr="002D05D8">
        <w:t>: who is responsible for teaching and training to “cultivate the skills, technical competence, knowledge and best practices needed to maintain and use an SDI” [</w:t>
      </w:r>
      <w:proofErr w:type="spellStart"/>
      <w:r w:rsidRPr="002D05D8">
        <w:t>Bejar</w:t>
      </w:r>
      <w:proofErr w:type="spellEnd"/>
      <w:r w:rsidRPr="002D05D8">
        <w:t xml:space="preserve"> </w:t>
      </w:r>
      <w:r w:rsidRPr="002D05D8">
        <w:rPr>
          <w:i/>
          <w:iCs/>
        </w:rPr>
        <w:t>et al</w:t>
      </w:r>
      <w:r w:rsidRPr="002D05D8">
        <w:t xml:space="preserve"> 2012].  An </w:t>
      </w:r>
      <w:r w:rsidRPr="002D05D8">
        <w:rPr>
          <w:i/>
        </w:rPr>
        <w:t xml:space="preserve">Educator </w:t>
      </w:r>
      <w:r w:rsidRPr="002D05D8">
        <w:t xml:space="preserve">should probably be added to the ICA </w:t>
      </w:r>
      <w:r w:rsidRPr="002D05D8">
        <w:lastRenderedPageBreak/>
        <w:t xml:space="preserve">model and similarly, perhaps a </w:t>
      </w:r>
      <w:r w:rsidRPr="002D05D8">
        <w:rPr>
          <w:i/>
        </w:rPr>
        <w:t xml:space="preserve">Researcher </w:t>
      </w:r>
      <w:r w:rsidRPr="002D05D8">
        <w:t>as well.</w:t>
      </w:r>
    </w:p>
    <w:p w14:paraId="73E6C10C" w14:textId="77777777" w:rsidR="003B4FCD" w:rsidRPr="002D05D8" w:rsidRDefault="003B4FCD" w:rsidP="003B4FCD">
      <w:pPr>
        <w:spacing w:after="0"/>
        <w:ind w:left="851" w:hanging="567"/>
      </w:pPr>
      <w:r w:rsidRPr="002D05D8">
        <w:rPr>
          <w:b/>
        </w:rPr>
        <w:t>Promoter</w:t>
      </w:r>
      <w:r w:rsidRPr="002D05D8">
        <w:t xml:space="preserve">: this is the same as the </w:t>
      </w:r>
      <w:r w:rsidRPr="002D05D8">
        <w:rPr>
          <w:i/>
        </w:rPr>
        <w:t xml:space="preserve">Champion </w:t>
      </w:r>
      <w:r w:rsidRPr="002D05D8">
        <w:t>in the ICA model.</w:t>
      </w:r>
    </w:p>
    <w:p w14:paraId="7688ED15" w14:textId="77777777" w:rsidR="003B4FCD" w:rsidRPr="002D05D8" w:rsidRDefault="003B4FCD" w:rsidP="003B4FCD">
      <w:pPr>
        <w:spacing w:after="0"/>
        <w:ind w:left="851" w:hanging="567"/>
      </w:pPr>
      <w:r w:rsidRPr="002D05D8">
        <w:rPr>
          <w:b/>
        </w:rPr>
        <w:t>Funder</w:t>
      </w:r>
      <w:r w:rsidRPr="002D05D8">
        <w:t xml:space="preserve">: who provides direct and/or indirect funding for the SDI itself and for all the relevant stakeholders to function.  A </w:t>
      </w:r>
      <w:r w:rsidRPr="002D05D8">
        <w:rPr>
          <w:i/>
        </w:rPr>
        <w:t xml:space="preserve">Funder </w:t>
      </w:r>
      <w:r w:rsidRPr="002D05D8">
        <w:t xml:space="preserve">should probably be added to the ICA model, though “the role of releasing resources for the SDI to work” [Oliveira &amp; </w:t>
      </w:r>
      <w:proofErr w:type="spellStart"/>
      <w:r w:rsidRPr="002D05D8">
        <w:t>Lisboa</w:t>
      </w:r>
      <w:proofErr w:type="spellEnd"/>
      <w:r w:rsidRPr="002D05D8">
        <w:t xml:space="preserve">-Filho 2015] also exists in the </w:t>
      </w:r>
      <w:r w:rsidRPr="002D05D8">
        <w:rPr>
          <w:i/>
        </w:rPr>
        <w:t>Secretariat</w:t>
      </w:r>
      <w:r w:rsidRPr="002D05D8">
        <w:t>.</w:t>
      </w:r>
    </w:p>
    <w:p w14:paraId="7DFC250D" w14:textId="77777777" w:rsidR="003B4FCD" w:rsidRPr="002D05D8" w:rsidRDefault="003B4FCD" w:rsidP="003B4FCD">
      <w:pPr>
        <w:spacing w:after="0"/>
        <w:ind w:left="851" w:hanging="567"/>
      </w:pPr>
      <w:r w:rsidRPr="002D05D8">
        <w:rPr>
          <w:b/>
        </w:rPr>
        <w:t>Member</w:t>
      </w:r>
      <w:r w:rsidRPr="002D05D8">
        <w:t xml:space="preserve">: this represents all communities involved with an SDI, including federations of communities.  Effectively, this is the same as the </w:t>
      </w:r>
      <w:r w:rsidRPr="002D05D8">
        <w:rPr>
          <w:i/>
        </w:rPr>
        <w:t xml:space="preserve">Stakeholder </w:t>
      </w:r>
      <w:r w:rsidRPr="002D05D8">
        <w:t xml:space="preserve">in general in the ICA model, but </w:t>
      </w:r>
      <w:proofErr w:type="spellStart"/>
      <w:r w:rsidRPr="002D05D8">
        <w:t>Bejar</w:t>
      </w:r>
      <w:proofErr w:type="spellEnd"/>
      <w:r w:rsidRPr="002D05D8">
        <w:t xml:space="preserve"> </w:t>
      </w:r>
      <w:r w:rsidRPr="002D05D8">
        <w:rPr>
          <w:i/>
          <w:iCs/>
        </w:rPr>
        <w:t>et al</w:t>
      </w:r>
      <w:r w:rsidRPr="002D05D8">
        <w:t xml:space="preserve"> [2012] found it useful to include the Member for their modelling.</w:t>
      </w:r>
    </w:p>
    <w:p w14:paraId="4D266F9D" w14:textId="77777777" w:rsidR="003B4FCD" w:rsidRPr="002D05D8" w:rsidRDefault="003B4FCD" w:rsidP="003B4FCD">
      <w:pPr>
        <w:spacing w:after="0"/>
        <w:ind w:left="851" w:hanging="567"/>
      </w:pPr>
      <w:r w:rsidRPr="002D05D8">
        <w:rPr>
          <w:b/>
        </w:rPr>
        <w:t>Communication channel</w:t>
      </w:r>
      <w:r w:rsidRPr="002D05D8">
        <w:t>: this is not a person or a group but is the collection of technologies enabling communication between the stakeholders and the SDI, and presumably with one another.  It is needed for their SDI models [</w:t>
      </w:r>
      <w:proofErr w:type="spellStart"/>
      <w:r w:rsidRPr="002D05D8">
        <w:t>Bejar</w:t>
      </w:r>
      <w:proofErr w:type="spellEnd"/>
      <w:r w:rsidRPr="002D05D8">
        <w:t xml:space="preserve"> </w:t>
      </w:r>
      <w:r w:rsidRPr="002D05D8">
        <w:rPr>
          <w:i/>
          <w:iCs/>
        </w:rPr>
        <w:t>et al</w:t>
      </w:r>
      <w:r w:rsidRPr="002D05D8">
        <w:t xml:space="preserve"> 2012].  The ICA Commission defined a stakeholder explicitly as “an individual or group”, and hence did not consider including technologies as stakeholders.  The </w:t>
      </w:r>
      <w:r w:rsidRPr="002D05D8">
        <w:rPr>
          <w:i/>
        </w:rPr>
        <w:t xml:space="preserve">communication channel </w:t>
      </w:r>
      <w:r w:rsidRPr="002D05D8">
        <w:t xml:space="preserve">is probably </w:t>
      </w:r>
      <w:proofErr w:type="gramStart"/>
      <w:r w:rsidRPr="002D05D8">
        <w:t>similar to</w:t>
      </w:r>
      <w:proofErr w:type="gramEnd"/>
      <w:r w:rsidRPr="002D05D8">
        <w:t xml:space="preserve"> the </w:t>
      </w:r>
      <w:r w:rsidRPr="002D05D8">
        <w:rPr>
          <w:i/>
        </w:rPr>
        <w:t xml:space="preserve">connectivity </w:t>
      </w:r>
      <w:r w:rsidRPr="002D05D8">
        <w:t>class in the Enterprise Viewpoint of the ICA model.</w:t>
      </w:r>
    </w:p>
    <w:p w14:paraId="5694B8AB" w14:textId="77777777" w:rsidR="003B4FCD" w:rsidRPr="002D05D8" w:rsidRDefault="003B4FCD" w:rsidP="003B4FCD">
      <w:pPr>
        <w:spacing w:after="0"/>
        <w:ind w:left="851" w:hanging="567"/>
      </w:pPr>
      <w:r w:rsidRPr="002D05D8">
        <w:rPr>
          <w:b/>
        </w:rPr>
        <w:t xml:space="preserve">SDI </w:t>
      </w:r>
      <w:proofErr w:type="spellStart"/>
      <w:r w:rsidRPr="002D05D8">
        <w:rPr>
          <w:b/>
        </w:rPr>
        <w:t>catalog</w:t>
      </w:r>
      <w:proofErr w:type="spellEnd"/>
      <w:r w:rsidRPr="002D05D8">
        <w:t>: again, a collection of technologies, this time for obtaining metadata.</w:t>
      </w:r>
    </w:p>
    <w:p w14:paraId="484FCBF4" w14:textId="0DB3D371" w:rsidR="003B4FCD" w:rsidRPr="002D05D8" w:rsidRDefault="003B4FCD" w:rsidP="003B4FCD">
      <w:pPr>
        <w:spacing w:after="0"/>
      </w:pPr>
      <w:proofErr w:type="spellStart"/>
      <w:r w:rsidRPr="002D05D8">
        <w:t>Bejar</w:t>
      </w:r>
      <w:proofErr w:type="spellEnd"/>
      <w:r w:rsidRPr="002D05D8">
        <w:t xml:space="preserve"> </w:t>
      </w:r>
      <w:r w:rsidRPr="002D05D8">
        <w:rPr>
          <w:i/>
          <w:iCs/>
        </w:rPr>
        <w:t>et al</w:t>
      </w:r>
      <w:r w:rsidRPr="002D05D8">
        <w:t xml:space="preserve"> [2012] also included </w:t>
      </w:r>
      <w:r w:rsidRPr="002D05D8">
        <w:rPr>
          <w:i/>
        </w:rPr>
        <w:t>artifact roles</w:t>
      </w:r>
      <w:r w:rsidRPr="002D05D8">
        <w:t xml:space="preserve">, </w:t>
      </w:r>
      <w:r w:rsidRPr="002D05D8">
        <w:rPr>
          <w:i/>
        </w:rPr>
        <w:t>enterprise objects</w:t>
      </w:r>
      <w:r w:rsidRPr="002D05D8">
        <w:t xml:space="preserve">, </w:t>
      </w:r>
      <w:r w:rsidRPr="002D05D8">
        <w:rPr>
          <w:i/>
        </w:rPr>
        <w:t xml:space="preserve">policies </w:t>
      </w:r>
      <w:r w:rsidRPr="002D05D8">
        <w:t xml:space="preserve">and the </w:t>
      </w:r>
      <w:r w:rsidRPr="002D05D8">
        <w:rPr>
          <w:i/>
        </w:rPr>
        <w:t xml:space="preserve">interactions and processes </w:t>
      </w:r>
      <w:r w:rsidRPr="002D05D8">
        <w:t xml:space="preserve">in their SDI models, but these are not directly relevant to modelling stakeholders specifically in an SDI.  There is a class for </w:t>
      </w:r>
      <w:r w:rsidRPr="002D05D8">
        <w:rPr>
          <w:i/>
        </w:rPr>
        <w:t xml:space="preserve">Policies </w:t>
      </w:r>
      <w:r w:rsidRPr="002D05D8">
        <w:t xml:space="preserve">in the Enterprise Viewpoint model.  While the </w:t>
      </w:r>
      <w:r w:rsidRPr="002D05D8">
        <w:rPr>
          <w:i/>
        </w:rPr>
        <w:t xml:space="preserve">enterprise object </w:t>
      </w:r>
      <w:r w:rsidRPr="002D05D8">
        <w:t xml:space="preserve">does include </w:t>
      </w:r>
      <w:r w:rsidRPr="002D05D8">
        <w:rPr>
          <w:i/>
        </w:rPr>
        <w:t>person</w:t>
      </w:r>
      <w:r w:rsidRPr="002D05D8">
        <w:t xml:space="preserve">, </w:t>
      </w:r>
      <w:proofErr w:type="gramStart"/>
      <w:r w:rsidRPr="002D05D8">
        <w:rPr>
          <w:i/>
        </w:rPr>
        <w:t>team</w:t>
      </w:r>
      <w:proofErr w:type="gramEnd"/>
      <w:r w:rsidRPr="002D05D8">
        <w:rPr>
          <w:i/>
        </w:rPr>
        <w:t xml:space="preserve"> </w:t>
      </w:r>
      <w:r w:rsidRPr="002D05D8">
        <w:t xml:space="preserve">and </w:t>
      </w:r>
      <w:r w:rsidRPr="002D05D8">
        <w:rPr>
          <w:i/>
        </w:rPr>
        <w:t>organization</w:t>
      </w:r>
      <w:r w:rsidRPr="002D05D8">
        <w:t xml:space="preserve">, as stakeholders these are catered for by the </w:t>
      </w:r>
      <w:r w:rsidRPr="002D05D8">
        <w:rPr>
          <w:i/>
        </w:rPr>
        <w:t xml:space="preserve">actor role types </w:t>
      </w:r>
      <w:r w:rsidRPr="002D05D8">
        <w:t>discussed above.  However, this does raise the question of how linkages between different stakeholders could be included in the ICA stakeholder model, though note that the ICA model allows one stakeholder to have many roles simultaneously.</w:t>
      </w:r>
    </w:p>
    <w:p w14:paraId="2E0C8515" w14:textId="11E0EF74" w:rsidR="00F54A82" w:rsidRDefault="003C07AE" w:rsidP="003C07AE">
      <w:pPr>
        <w:pStyle w:val="Heading2"/>
      </w:pPr>
      <w:r w:rsidRPr="003C07AE">
        <w:t xml:space="preserve">The SDI governance model of Box </w:t>
      </w:r>
      <w:r w:rsidR="009E3ACC">
        <w:t>[</w:t>
      </w:r>
      <w:r w:rsidRPr="003C07AE">
        <w:t>2013</w:t>
      </w:r>
      <w:r w:rsidR="009E3ACC">
        <w:t>]</w:t>
      </w:r>
    </w:p>
    <w:p w14:paraId="205B1D11" w14:textId="227FD45C" w:rsidR="003C07AE" w:rsidRPr="002D05D8" w:rsidRDefault="003C07AE" w:rsidP="003C07AE">
      <w:pPr>
        <w:spacing w:after="0"/>
      </w:pPr>
      <w:r w:rsidRPr="002D05D8">
        <w:t xml:space="preserve">The ICA SDI stakeholder model does not cater for </w:t>
      </w:r>
      <w:r w:rsidRPr="002D05D8">
        <w:rPr>
          <w:i/>
        </w:rPr>
        <w:t xml:space="preserve">oversight </w:t>
      </w:r>
      <w:r w:rsidRPr="002D05D8">
        <w:t xml:space="preserve">explicitly, which is probably a role distinct from the others of the </w:t>
      </w:r>
      <w:r w:rsidRPr="002D05D8">
        <w:rPr>
          <w:i/>
        </w:rPr>
        <w:t>Policy Maker</w:t>
      </w:r>
      <w:r w:rsidRPr="002D05D8">
        <w:t xml:space="preserve">.  The oversight role is to keep the </w:t>
      </w:r>
      <w:r w:rsidRPr="002D05D8">
        <w:rPr>
          <w:i/>
        </w:rPr>
        <w:t>Legislator</w:t>
      </w:r>
      <w:r w:rsidRPr="002D05D8">
        <w:t xml:space="preserve">, </w:t>
      </w:r>
      <w:r w:rsidRPr="002D05D8">
        <w:rPr>
          <w:i/>
        </w:rPr>
        <w:t xml:space="preserve">Decision </w:t>
      </w:r>
      <w:proofErr w:type="gramStart"/>
      <w:r w:rsidRPr="002D05D8">
        <w:rPr>
          <w:i/>
        </w:rPr>
        <w:t>Maker</w:t>
      </w:r>
      <w:proofErr w:type="gramEnd"/>
      <w:r w:rsidRPr="002D05D8">
        <w:rPr>
          <w:i/>
        </w:rPr>
        <w:t xml:space="preserve"> </w:t>
      </w:r>
      <w:r w:rsidRPr="002D05D8">
        <w:t xml:space="preserve">and </w:t>
      </w:r>
      <w:r w:rsidRPr="002D05D8">
        <w:rPr>
          <w:i/>
        </w:rPr>
        <w:t xml:space="preserve">Secretariat </w:t>
      </w:r>
      <w:r w:rsidRPr="002D05D8">
        <w:t xml:space="preserve">honest, accountable and responsive – while the </w:t>
      </w:r>
      <w:r w:rsidRPr="002D05D8">
        <w:rPr>
          <w:i/>
        </w:rPr>
        <w:t xml:space="preserve">Champion </w:t>
      </w:r>
      <w:r w:rsidRPr="002D05D8">
        <w:t xml:space="preserve">should really be too biased to have an oversight role as well!  Such a stakeholder could be responsible for ensuring ethical behaviour, shared </w:t>
      </w:r>
      <w:proofErr w:type="gramStart"/>
      <w:r w:rsidRPr="002D05D8">
        <w:t>principles</w:t>
      </w:r>
      <w:proofErr w:type="gramEnd"/>
      <w:r w:rsidRPr="002D05D8">
        <w:t xml:space="preserve"> and adherence to codes of conduct, and for peer review, and monitoring and evaluation of the SDI and stakeholders. The stakeholder could be labelled as an </w:t>
      </w:r>
      <w:r w:rsidRPr="002D05D8">
        <w:rPr>
          <w:i/>
        </w:rPr>
        <w:t>Ombud</w:t>
      </w:r>
      <w:r w:rsidRPr="002D05D8">
        <w:t xml:space="preserve">, which is a clipped form of the word </w:t>
      </w:r>
      <w:r w:rsidRPr="002D05D8">
        <w:rPr>
          <w:i/>
        </w:rPr>
        <w:t xml:space="preserve">ombudsman </w:t>
      </w:r>
      <w:r w:rsidRPr="002D05D8">
        <w:t>to make it gender-neutral (used in South Africa, at least).</w:t>
      </w:r>
    </w:p>
    <w:p w14:paraId="6276D098" w14:textId="77777777" w:rsidR="003C07AE" w:rsidRPr="002D05D8" w:rsidRDefault="003C07AE" w:rsidP="003C07AE">
      <w:pPr>
        <w:spacing w:after="0"/>
      </w:pPr>
      <w:r w:rsidRPr="002D05D8">
        <w:t xml:space="preserve">Adding the </w:t>
      </w:r>
      <w:r w:rsidRPr="002D05D8">
        <w:rPr>
          <w:i/>
        </w:rPr>
        <w:t xml:space="preserve">Ombud </w:t>
      </w:r>
      <w:r w:rsidRPr="002D05D8">
        <w:t xml:space="preserve">would ensure the </w:t>
      </w:r>
      <w:r w:rsidRPr="002D05D8">
        <w:rPr>
          <w:i/>
        </w:rPr>
        <w:t xml:space="preserve">Policy Maker </w:t>
      </w:r>
      <w:r w:rsidRPr="002D05D8">
        <w:t xml:space="preserve">covers all aspects of governance described by Box [2013].  He </w:t>
      </w:r>
      <w:r w:rsidRPr="002D05D8">
        <w:t xml:space="preserve">defined </w:t>
      </w:r>
      <w:r w:rsidRPr="002D05D8">
        <w:rPr>
          <w:i/>
        </w:rPr>
        <w:t xml:space="preserve">SDI governance </w:t>
      </w:r>
      <w:r w:rsidRPr="002D05D8">
        <w:t>as “an overarching and enabling decision-making and accountability framework comprising authority structures, roles, policies, processes, and mechanisms that enable collective decision-making, and collaborative action to achieve common goals” [Box 2013].</w:t>
      </w:r>
    </w:p>
    <w:p w14:paraId="36840912" w14:textId="05D19CD9" w:rsidR="003C07AE" w:rsidRDefault="0007375D" w:rsidP="0007375D">
      <w:pPr>
        <w:pStyle w:val="Heading2"/>
      </w:pPr>
      <w:r w:rsidRPr="0007375D">
        <w:t xml:space="preserve">Improvements suggested by Oliveira </w:t>
      </w:r>
      <w:r w:rsidRPr="0007375D">
        <w:rPr>
          <w:i/>
          <w:iCs/>
        </w:rPr>
        <w:t>et al</w:t>
      </w:r>
      <w:r w:rsidRPr="0007375D">
        <w:t xml:space="preserve"> </w:t>
      </w:r>
      <w:r w:rsidR="009E3ACC">
        <w:t>[</w:t>
      </w:r>
      <w:r w:rsidRPr="0007375D">
        <w:t>2015</w:t>
      </w:r>
      <w:r w:rsidR="009E3ACC">
        <w:t>]</w:t>
      </w:r>
    </w:p>
    <w:p w14:paraId="36D0AC1C" w14:textId="475E8028" w:rsidR="0007375D" w:rsidRPr="002D05D8" w:rsidRDefault="0007375D" w:rsidP="0007375D">
      <w:pPr>
        <w:spacing w:after="0"/>
      </w:pPr>
      <w:r w:rsidRPr="002D05D8">
        <w:t xml:space="preserve">Oliveira &amp; </w:t>
      </w:r>
      <w:proofErr w:type="spellStart"/>
      <w:r w:rsidRPr="002D05D8">
        <w:t>Lisboa</w:t>
      </w:r>
      <w:proofErr w:type="spellEnd"/>
      <w:r w:rsidRPr="002D05D8">
        <w:t xml:space="preserve">-Filho [2015] unified the stakeholders in the ICA SDI model [Hjelmager </w:t>
      </w:r>
      <w:r w:rsidRPr="002D05D8">
        <w:rPr>
          <w:i/>
          <w:iCs/>
        </w:rPr>
        <w:t>et al</w:t>
      </w:r>
      <w:r w:rsidRPr="002D05D8">
        <w:t xml:space="preserve"> 2008; Cooper </w:t>
      </w:r>
      <w:r w:rsidRPr="002D05D8">
        <w:rPr>
          <w:i/>
          <w:iCs/>
        </w:rPr>
        <w:t>et al</w:t>
      </w:r>
      <w:r w:rsidRPr="002D05D8">
        <w:t xml:space="preserve"> 2011] with the actors proposed by </w:t>
      </w:r>
      <w:proofErr w:type="spellStart"/>
      <w:r w:rsidRPr="002D05D8">
        <w:t>Bejar</w:t>
      </w:r>
      <w:proofErr w:type="spellEnd"/>
      <w:r w:rsidRPr="002D05D8">
        <w:t xml:space="preserve"> </w:t>
      </w:r>
      <w:r w:rsidRPr="002D05D8">
        <w:rPr>
          <w:i/>
          <w:iCs/>
        </w:rPr>
        <w:t>et al</w:t>
      </w:r>
      <w:r w:rsidRPr="002D05D8">
        <w:t xml:space="preserve"> [2012].  They noted the following about the ICA SDI stakeholder model:</w:t>
      </w:r>
    </w:p>
    <w:p w14:paraId="7E677354" w14:textId="77777777" w:rsidR="0007375D" w:rsidRPr="002D05D8" w:rsidRDefault="0007375D" w:rsidP="0007375D">
      <w:pPr>
        <w:pStyle w:val="ListParagraph"/>
        <w:numPr>
          <w:ilvl w:val="0"/>
          <w:numId w:val="16"/>
        </w:numPr>
        <w:tabs>
          <w:tab w:val="clear" w:pos="1134"/>
        </w:tabs>
        <w:suppressAutoHyphens w:val="0"/>
        <w:spacing w:after="0"/>
        <w:contextualSpacing/>
      </w:pPr>
      <w:r w:rsidRPr="002D05D8">
        <w:t xml:space="preserve">There is no subtype of the </w:t>
      </w:r>
      <w:r w:rsidRPr="002D05D8">
        <w:rPr>
          <w:i/>
        </w:rPr>
        <w:t xml:space="preserve">Producer </w:t>
      </w:r>
      <w:r w:rsidRPr="002D05D8">
        <w:t xml:space="preserve">for services and no mention of a </w:t>
      </w:r>
      <w:r w:rsidRPr="002D05D8">
        <w:rPr>
          <w:i/>
        </w:rPr>
        <w:t xml:space="preserve">Producer </w:t>
      </w:r>
      <w:r w:rsidRPr="002D05D8">
        <w:t xml:space="preserve">removing, </w:t>
      </w:r>
      <w:proofErr w:type="gramStart"/>
      <w:r w:rsidRPr="002D05D8">
        <w:t>updating</w:t>
      </w:r>
      <w:proofErr w:type="gramEnd"/>
      <w:r w:rsidRPr="002D05D8">
        <w:t xml:space="preserve"> or maintaining data in the SDI.</w:t>
      </w:r>
    </w:p>
    <w:p w14:paraId="61C05074" w14:textId="77777777" w:rsidR="0007375D" w:rsidRPr="002D05D8" w:rsidRDefault="0007375D" w:rsidP="0007375D">
      <w:pPr>
        <w:pStyle w:val="ListParagraph"/>
        <w:numPr>
          <w:ilvl w:val="0"/>
          <w:numId w:val="16"/>
        </w:numPr>
        <w:tabs>
          <w:tab w:val="clear" w:pos="1134"/>
        </w:tabs>
        <w:suppressAutoHyphens w:val="0"/>
        <w:spacing w:after="0"/>
        <w:contextualSpacing/>
      </w:pPr>
      <w:r w:rsidRPr="002D05D8">
        <w:t>There is no explicit provision for updating or removing policies in the SDI, nor for liaising with other organisations.</w:t>
      </w:r>
    </w:p>
    <w:p w14:paraId="29DB648F" w14:textId="77777777" w:rsidR="0007375D" w:rsidRPr="002D05D8" w:rsidRDefault="0007375D" w:rsidP="0007375D">
      <w:pPr>
        <w:pStyle w:val="ListParagraph"/>
        <w:numPr>
          <w:ilvl w:val="0"/>
          <w:numId w:val="16"/>
        </w:numPr>
        <w:tabs>
          <w:tab w:val="clear" w:pos="1134"/>
        </w:tabs>
        <w:suppressAutoHyphens w:val="0"/>
        <w:spacing w:after="0"/>
        <w:contextualSpacing/>
      </w:pPr>
      <w:r w:rsidRPr="002D05D8">
        <w:t xml:space="preserve">Some of the roles of the </w:t>
      </w:r>
      <w:r w:rsidRPr="002D05D8">
        <w:rPr>
          <w:i/>
        </w:rPr>
        <w:t xml:space="preserve">Operational Body </w:t>
      </w:r>
      <w:r w:rsidRPr="002D05D8">
        <w:t>[</w:t>
      </w:r>
      <w:proofErr w:type="spellStart"/>
      <w:r w:rsidRPr="002D05D8">
        <w:t>Bejar</w:t>
      </w:r>
      <w:proofErr w:type="spellEnd"/>
      <w:r w:rsidRPr="002D05D8">
        <w:t xml:space="preserve"> </w:t>
      </w:r>
      <w:r w:rsidRPr="002D05D8">
        <w:rPr>
          <w:i/>
          <w:iCs/>
        </w:rPr>
        <w:t>et al</w:t>
      </w:r>
      <w:r w:rsidRPr="002D05D8">
        <w:t xml:space="preserve"> 2012] are missing, or were not mentioned explicitly, such as systems administration, technical support, quality assurance and managing the </w:t>
      </w:r>
      <w:proofErr w:type="spellStart"/>
      <w:r w:rsidRPr="002D05D8">
        <w:t>catlogue</w:t>
      </w:r>
      <w:proofErr w:type="spellEnd"/>
      <w:r w:rsidRPr="002D05D8">
        <w:t xml:space="preserve"> gateway (see </w:t>
      </w:r>
      <w:proofErr w:type="spellStart"/>
      <w:r w:rsidRPr="002D05D8">
        <w:t>Nebert</w:t>
      </w:r>
      <w:proofErr w:type="spellEnd"/>
      <w:r w:rsidRPr="002D05D8">
        <w:t xml:space="preserve"> [2004]).</w:t>
      </w:r>
    </w:p>
    <w:p w14:paraId="60AD836F" w14:textId="77777777" w:rsidR="0007375D" w:rsidRPr="002D05D8" w:rsidRDefault="0007375D" w:rsidP="0007375D">
      <w:pPr>
        <w:pStyle w:val="ListParagraph"/>
        <w:numPr>
          <w:ilvl w:val="0"/>
          <w:numId w:val="16"/>
        </w:numPr>
        <w:tabs>
          <w:tab w:val="clear" w:pos="1134"/>
        </w:tabs>
        <w:suppressAutoHyphens w:val="0"/>
        <w:spacing w:after="0"/>
        <w:contextualSpacing/>
      </w:pPr>
      <w:r w:rsidRPr="002D05D8">
        <w:t xml:space="preserve">A </w:t>
      </w:r>
      <w:r w:rsidRPr="002D05D8">
        <w:rPr>
          <w:i/>
        </w:rPr>
        <w:t xml:space="preserve">Contact </w:t>
      </w:r>
      <w:r w:rsidRPr="002D05D8">
        <w:t xml:space="preserve">and an </w:t>
      </w:r>
      <w:r w:rsidRPr="002D05D8">
        <w:rPr>
          <w:i/>
        </w:rPr>
        <w:t>Educator [</w:t>
      </w:r>
      <w:proofErr w:type="spellStart"/>
      <w:r w:rsidRPr="002D05D8">
        <w:t>Bejar</w:t>
      </w:r>
      <w:proofErr w:type="spellEnd"/>
      <w:r w:rsidRPr="002D05D8">
        <w:t xml:space="preserve"> </w:t>
      </w:r>
      <w:r w:rsidRPr="002D05D8">
        <w:rPr>
          <w:i/>
          <w:iCs/>
        </w:rPr>
        <w:t>et al</w:t>
      </w:r>
      <w:r w:rsidRPr="002D05D8">
        <w:t xml:space="preserve"> 2012] have not been included.</w:t>
      </w:r>
    </w:p>
    <w:p w14:paraId="18799203" w14:textId="77777777" w:rsidR="0007375D" w:rsidRPr="002D05D8" w:rsidRDefault="0007375D" w:rsidP="0007375D">
      <w:pPr>
        <w:spacing w:after="0"/>
      </w:pPr>
      <w:r w:rsidRPr="002D05D8">
        <w:t xml:space="preserve">They then identified seven main actor roles for SDI participants or </w:t>
      </w:r>
      <w:r w:rsidRPr="002D05D8">
        <w:rPr>
          <w:i/>
        </w:rPr>
        <w:t xml:space="preserve">Members </w:t>
      </w:r>
      <w:r w:rsidRPr="002D05D8">
        <w:t xml:space="preserve">[Oliveira &amp; </w:t>
      </w:r>
      <w:proofErr w:type="spellStart"/>
      <w:r w:rsidRPr="002D05D8">
        <w:t>Lisboa</w:t>
      </w:r>
      <w:proofErr w:type="spellEnd"/>
      <w:r w:rsidRPr="002D05D8">
        <w:t>-Filho 2015]:</w:t>
      </w:r>
    </w:p>
    <w:p w14:paraId="0AE344A6" w14:textId="77777777" w:rsidR="0007375D" w:rsidRPr="002D05D8" w:rsidRDefault="0007375D" w:rsidP="0007375D">
      <w:pPr>
        <w:spacing w:after="0"/>
        <w:ind w:left="851" w:hanging="567"/>
      </w:pPr>
      <w:r w:rsidRPr="002D05D8">
        <w:rPr>
          <w:b/>
        </w:rPr>
        <w:t>User</w:t>
      </w:r>
      <w:r w:rsidRPr="002D05D8">
        <w:t xml:space="preserve">: the same as the </w:t>
      </w:r>
      <w:r w:rsidRPr="002D05D8">
        <w:rPr>
          <w:i/>
        </w:rPr>
        <w:t xml:space="preserve">User </w:t>
      </w:r>
      <w:r w:rsidRPr="002D05D8">
        <w:t>in the ICA model.</w:t>
      </w:r>
    </w:p>
    <w:p w14:paraId="4BCD59B0" w14:textId="77777777" w:rsidR="0007375D" w:rsidRPr="002D05D8" w:rsidRDefault="0007375D" w:rsidP="0007375D">
      <w:pPr>
        <w:spacing w:after="0"/>
        <w:ind w:left="851" w:hanging="567"/>
      </w:pPr>
      <w:r w:rsidRPr="002D05D8">
        <w:rPr>
          <w:b/>
        </w:rPr>
        <w:t>Producer</w:t>
      </w:r>
      <w:r w:rsidRPr="002D05D8">
        <w:t xml:space="preserve">: the same as the </w:t>
      </w:r>
      <w:r w:rsidRPr="002D05D8">
        <w:rPr>
          <w:i/>
        </w:rPr>
        <w:t>Producer</w:t>
      </w:r>
      <w:r w:rsidRPr="002D05D8">
        <w:t xml:space="preserve">, but with the </w:t>
      </w:r>
      <w:r w:rsidRPr="002D05D8">
        <w:rPr>
          <w:i/>
        </w:rPr>
        <w:t xml:space="preserve">Submitter of Revision Notice </w:t>
      </w:r>
      <w:r w:rsidRPr="002D05D8">
        <w:t xml:space="preserve">and the </w:t>
      </w:r>
      <w:r w:rsidRPr="002D05D8">
        <w:rPr>
          <w:i/>
        </w:rPr>
        <w:t xml:space="preserve">Data Base Administrator </w:t>
      </w:r>
      <w:r w:rsidRPr="002D05D8">
        <w:t xml:space="preserve">moved to the </w:t>
      </w:r>
      <w:r w:rsidRPr="002D05D8">
        <w:rPr>
          <w:i/>
        </w:rPr>
        <w:t>Operational Body</w:t>
      </w:r>
      <w:r w:rsidRPr="002D05D8">
        <w:t>.</w:t>
      </w:r>
    </w:p>
    <w:p w14:paraId="1FF6966C" w14:textId="77777777" w:rsidR="0007375D" w:rsidRPr="002D05D8" w:rsidRDefault="0007375D" w:rsidP="0007375D">
      <w:pPr>
        <w:spacing w:after="0"/>
        <w:ind w:left="851" w:hanging="567"/>
      </w:pPr>
      <w:r w:rsidRPr="002D05D8">
        <w:rPr>
          <w:b/>
        </w:rPr>
        <w:t>Provider</w:t>
      </w:r>
      <w:r w:rsidRPr="002D05D8">
        <w:t xml:space="preserve">: the same as the </w:t>
      </w:r>
      <w:r w:rsidRPr="002D05D8">
        <w:rPr>
          <w:i/>
        </w:rPr>
        <w:t>Provider</w:t>
      </w:r>
      <w:r w:rsidRPr="002D05D8">
        <w:t>.</w:t>
      </w:r>
    </w:p>
    <w:p w14:paraId="51F56CC6" w14:textId="77777777" w:rsidR="0007375D" w:rsidRPr="002D05D8" w:rsidRDefault="0007375D" w:rsidP="0007375D">
      <w:pPr>
        <w:spacing w:after="0"/>
        <w:ind w:left="851" w:hanging="567"/>
      </w:pPr>
      <w:r w:rsidRPr="002D05D8">
        <w:rPr>
          <w:b/>
        </w:rPr>
        <w:t>Broker</w:t>
      </w:r>
      <w:r w:rsidRPr="002D05D8">
        <w:t xml:space="preserve">: the same as the </w:t>
      </w:r>
      <w:r w:rsidRPr="002D05D8">
        <w:rPr>
          <w:i/>
        </w:rPr>
        <w:t>Broker</w:t>
      </w:r>
      <w:r w:rsidRPr="002D05D8">
        <w:t>.</w:t>
      </w:r>
    </w:p>
    <w:p w14:paraId="4F5AC2F8" w14:textId="77777777" w:rsidR="0007375D" w:rsidRPr="002D05D8" w:rsidRDefault="0007375D" w:rsidP="0007375D">
      <w:pPr>
        <w:spacing w:after="0"/>
        <w:ind w:left="851" w:hanging="567"/>
        <w:jc w:val="left"/>
      </w:pPr>
      <w:r w:rsidRPr="002D05D8">
        <w:rPr>
          <w:b/>
        </w:rPr>
        <w:t>Value-Added Reseller</w:t>
      </w:r>
      <w:r w:rsidRPr="002D05D8">
        <w:t xml:space="preserve">: the same as the </w:t>
      </w:r>
      <w:r w:rsidRPr="002D05D8">
        <w:rPr>
          <w:i/>
        </w:rPr>
        <w:t>VAR</w:t>
      </w:r>
      <w:r w:rsidRPr="002D05D8">
        <w:t>.</w:t>
      </w:r>
    </w:p>
    <w:p w14:paraId="67F6722B" w14:textId="77777777" w:rsidR="0007375D" w:rsidRPr="002D05D8" w:rsidRDefault="0007375D" w:rsidP="0007375D">
      <w:pPr>
        <w:spacing w:after="0"/>
        <w:ind w:left="851" w:hanging="567"/>
      </w:pPr>
      <w:r w:rsidRPr="002D05D8">
        <w:rPr>
          <w:b/>
        </w:rPr>
        <w:t>Operational Body</w:t>
      </w:r>
      <w:r w:rsidRPr="002D05D8">
        <w:t xml:space="preserve">: essentially a combination of the </w:t>
      </w:r>
      <w:r w:rsidRPr="002D05D8">
        <w:rPr>
          <w:i/>
        </w:rPr>
        <w:t>Secretariat</w:t>
      </w:r>
      <w:r w:rsidRPr="002D05D8">
        <w:t xml:space="preserve">, </w:t>
      </w:r>
      <w:r w:rsidRPr="002D05D8">
        <w:rPr>
          <w:i/>
        </w:rPr>
        <w:t xml:space="preserve">Data Base Administrator </w:t>
      </w:r>
      <w:r w:rsidRPr="002D05D8">
        <w:t xml:space="preserve">and </w:t>
      </w:r>
      <w:r w:rsidRPr="002D05D8">
        <w:rPr>
          <w:i/>
        </w:rPr>
        <w:t>Cataloguer</w:t>
      </w:r>
      <w:r w:rsidRPr="002D05D8">
        <w:t>.</w:t>
      </w:r>
    </w:p>
    <w:p w14:paraId="7486BFCC" w14:textId="77777777" w:rsidR="0007375D" w:rsidRPr="002D05D8" w:rsidRDefault="0007375D" w:rsidP="0007375D">
      <w:pPr>
        <w:tabs>
          <w:tab w:val="right" w:pos="4649"/>
        </w:tabs>
        <w:spacing w:after="0"/>
        <w:ind w:left="851" w:hanging="567"/>
        <w:jc w:val="left"/>
      </w:pPr>
      <w:r w:rsidRPr="002D05D8">
        <w:rPr>
          <w:b/>
        </w:rPr>
        <w:t>Governing Body</w:t>
      </w:r>
      <w:r w:rsidRPr="002D05D8">
        <w:t xml:space="preserve">: the same as the </w:t>
      </w:r>
      <w:r w:rsidRPr="002D05D8">
        <w:rPr>
          <w:i/>
        </w:rPr>
        <w:t>Decision Maker</w:t>
      </w:r>
      <w:r w:rsidRPr="002D05D8">
        <w:t xml:space="preserve"> (Oliveira &amp; </w:t>
      </w:r>
      <w:proofErr w:type="spellStart"/>
      <w:r w:rsidRPr="002D05D8">
        <w:t>Lisboa</w:t>
      </w:r>
      <w:proofErr w:type="spellEnd"/>
      <w:r w:rsidRPr="002D05D8">
        <w:t>-Filho 2015].</w:t>
      </w:r>
    </w:p>
    <w:p w14:paraId="7078EFB0" w14:textId="0B61BBC4" w:rsidR="0007375D" w:rsidRPr="002D05D8" w:rsidRDefault="00B166A4" w:rsidP="00B166A4">
      <w:pPr>
        <w:pStyle w:val="Heading2"/>
      </w:pPr>
      <w:r w:rsidRPr="00B166A4">
        <w:t xml:space="preserve">Improvements suggested by Silva </w:t>
      </w:r>
      <w:r w:rsidRPr="00F9080E">
        <w:rPr>
          <w:i/>
          <w:iCs/>
        </w:rPr>
        <w:t>et al</w:t>
      </w:r>
      <w:r w:rsidRPr="00B166A4">
        <w:t xml:space="preserve"> </w:t>
      </w:r>
      <w:r w:rsidR="009E3ACC">
        <w:t>[</w:t>
      </w:r>
      <w:r w:rsidRPr="00B166A4">
        <w:t>2022</w:t>
      </w:r>
      <w:r w:rsidR="009E3ACC">
        <w:t>]</w:t>
      </w:r>
    </w:p>
    <w:p w14:paraId="4CDF2816" w14:textId="77777777" w:rsidR="00B166A4" w:rsidRPr="002D05D8" w:rsidRDefault="00B166A4" w:rsidP="00B166A4">
      <w:pPr>
        <w:spacing w:after="0"/>
      </w:pPr>
      <w:r w:rsidRPr="002D05D8">
        <w:t xml:space="preserve">Silva et al [2022] consider the ICA stakeholder model lacks a means for representing schematically the responsibilities of stakeholders, so they adapted the model to a Responsibility Assignment Matrix (RAM).  They deleted the </w:t>
      </w:r>
      <w:r w:rsidRPr="002D05D8">
        <w:rPr>
          <w:i/>
          <w:iCs/>
        </w:rPr>
        <w:t>VAR</w:t>
      </w:r>
      <w:r w:rsidRPr="002D05D8">
        <w:t xml:space="preserve">, </w:t>
      </w:r>
      <w:r w:rsidRPr="002D05D8">
        <w:rPr>
          <w:i/>
          <w:iCs/>
        </w:rPr>
        <w:t>Policy Maker</w:t>
      </w:r>
      <w:r w:rsidRPr="002D05D8">
        <w:t xml:space="preserve"> and </w:t>
      </w:r>
      <w:r w:rsidRPr="002D05D8">
        <w:rPr>
          <w:i/>
          <w:iCs/>
        </w:rPr>
        <w:t>Broker</w:t>
      </w:r>
      <w:r w:rsidRPr="002D05D8">
        <w:t xml:space="preserve"> stakeholders, assigning their functions to other stakeholders, and added a </w:t>
      </w:r>
      <w:proofErr w:type="gramStart"/>
      <w:r w:rsidRPr="002D05D8">
        <w:rPr>
          <w:i/>
          <w:iCs/>
        </w:rPr>
        <w:t>Manager</w:t>
      </w:r>
      <w:proofErr w:type="gramEnd"/>
      <w:r w:rsidRPr="002D05D8">
        <w:t xml:space="preserve"> stakeholder.  They also added further functions [Silva </w:t>
      </w:r>
      <w:r w:rsidRPr="002D05D8">
        <w:rPr>
          <w:i/>
          <w:iCs/>
        </w:rPr>
        <w:t>et al</w:t>
      </w:r>
      <w:r w:rsidRPr="002D05D8">
        <w:t xml:space="preserve"> 2022].  These changes are possibly due to misunderstanding the ICA stakeholder model, as discussed below in Section 3 on some issues with the stakeholders.</w:t>
      </w:r>
    </w:p>
    <w:p w14:paraId="3D5ACD9A" w14:textId="3DEEB3F6" w:rsidR="003C07AE" w:rsidRDefault="00F9080E" w:rsidP="00F9080E">
      <w:pPr>
        <w:pStyle w:val="Heading2"/>
      </w:pPr>
      <w:r w:rsidRPr="00F9080E">
        <w:t xml:space="preserve">Improvements suggested by </w:t>
      </w:r>
      <w:proofErr w:type="spellStart"/>
      <w:r w:rsidRPr="00F9080E">
        <w:t>Tamene</w:t>
      </w:r>
      <w:proofErr w:type="spellEnd"/>
      <w:r w:rsidRPr="00F9080E">
        <w:t xml:space="preserve"> </w:t>
      </w:r>
      <w:r w:rsidRPr="00F9080E">
        <w:rPr>
          <w:i/>
          <w:iCs/>
        </w:rPr>
        <w:t>et al</w:t>
      </w:r>
      <w:r w:rsidRPr="00F9080E">
        <w:t xml:space="preserve"> </w:t>
      </w:r>
      <w:r w:rsidR="009E3ACC">
        <w:t>[</w:t>
      </w:r>
      <w:r w:rsidRPr="00F9080E">
        <w:t>2021</w:t>
      </w:r>
      <w:r w:rsidR="009E3ACC">
        <w:t>]</w:t>
      </w:r>
    </w:p>
    <w:p w14:paraId="63B9E43B" w14:textId="77777777" w:rsidR="00672164" w:rsidRPr="002D05D8" w:rsidRDefault="00672164" w:rsidP="00672164">
      <w:pPr>
        <w:spacing w:after="0"/>
      </w:pPr>
      <w:r w:rsidRPr="002D05D8">
        <w:t xml:space="preserve">While </w:t>
      </w:r>
      <w:proofErr w:type="spellStart"/>
      <w:r w:rsidRPr="002D05D8">
        <w:t>Tamene</w:t>
      </w:r>
      <w:proofErr w:type="spellEnd"/>
      <w:r w:rsidRPr="002D05D8">
        <w:t xml:space="preserve"> </w:t>
      </w:r>
      <w:r w:rsidRPr="002D05D8">
        <w:rPr>
          <w:i/>
          <w:iCs/>
        </w:rPr>
        <w:t>et al</w:t>
      </w:r>
      <w:r w:rsidRPr="002D05D8">
        <w:t xml:space="preserve"> [2021] did not comment on the Commission’s stakeholder model, they did modify the Commission’s model of the eight SDI processes [Cooper et al 2013].  Specifically, they referred to the </w:t>
      </w:r>
      <w:r w:rsidRPr="002D05D8">
        <w:rPr>
          <w:i/>
          <w:iCs/>
        </w:rPr>
        <w:t>Creation</w:t>
      </w:r>
      <w:r w:rsidRPr="002D05D8">
        <w:t xml:space="preserve"> process as </w:t>
      </w:r>
      <w:r w:rsidRPr="002D05D8">
        <w:rPr>
          <w:i/>
          <w:iCs/>
        </w:rPr>
        <w:t>Establishment</w:t>
      </w:r>
      <w:r w:rsidRPr="002D05D8">
        <w:t xml:space="preserve"> and split </w:t>
      </w:r>
      <w:r w:rsidRPr="002D05D8">
        <w:rPr>
          <w:i/>
          <w:iCs/>
        </w:rPr>
        <w:t>Processing</w:t>
      </w:r>
      <w:r w:rsidRPr="002D05D8">
        <w:t xml:space="preserve"> into </w:t>
      </w:r>
      <w:r w:rsidRPr="002D05D8">
        <w:rPr>
          <w:i/>
          <w:iCs/>
        </w:rPr>
        <w:t>Data Curation &amp; Manipulation</w:t>
      </w:r>
      <w:r w:rsidRPr="002D05D8">
        <w:t xml:space="preserve">, and </w:t>
      </w:r>
      <w:r w:rsidRPr="002D05D8">
        <w:rPr>
          <w:i/>
          <w:iCs/>
        </w:rPr>
        <w:t>Data Ingestion &amp; Indexing</w:t>
      </w:r>
      <w:r w:rsidRPr="002D05D8">
        <w:t>.</w:t>
      </w:r>
    </w:p>
    <w:p w14:paraId="3FF4F14C" w14:textId="599EEE97" w:rsidR="00B166A4" w:rsidRDefault="00672164" w:rsidP="000B16E3">
      <w:pPr>
        <w:pStyle w:val="Heading2"/>
      </w:pPr>
      <w:r w:rsidRPr="00672164">
        <w:lastRenderedPageBreak/>
        <w:t xml:space="preserve">Improvements suggested by </w:t>
      </w:r>
      <w:proofErr w:type="spellStart"/>
      <w:r w:rsidRPr="00672164">
        <w:t>Sinvula</w:t>
      </w:r>
      <w:proofErr w:type="spellEnd"/>
      <w:r w:rsidRPr="00672164">
        <w:t xml:space="preserve"> </w:t>
      </w:r>
      <w:r w:rsidRPr="000B16E3">
        <w:rPr>
          <w:i/>
          <w:iCs/>
        </w:rPr>
        <w:t>et al</w:t>
      </w:r>
      <w:r w:rsidRPr="00672164">
        <w:t xml:space="preserve"> </w:t>
      </w:r>
      <w:r w:rsidR="000B16E3">
        <w:t>[</w:t>
      </w:r>
      <w:r w:rsidRPr="00672164">
        <w:t>2017</w:t>
      </w:r>
      <w:r w:rsidR="000B16E3">
        <w:t>]</w:t>
      </w:r>
    </w:p>
    <w:p w14:paraId="49886ADC" w14:textId="77777777" w:rsidR="000A69E7" w:rsidRPr="002D05D8" w:rsidRDefault="000A69E7" w:rsidP="000A69E7">
      <w:pPr>
        <w:spacing w:after="0"/>
      </w:pPr>
      <w:r w:rsidRPr="002D05D8">
        <w:t xml:space="preserve">A research team that included some members of the ICA Commission applied the ICA stakeholder typology to the SDIs of Ghana, </w:t>
      </w:r>
      <w:proofErr w:type="gramStart"/>
      <w:r w:rsidRPr="002D05D8">
        <w:t>Namibia</w:t>
      </w:r>
      <w:proofErr w:type="gramEnd"/>
      <w:r w:rsidRPr="002D05D8">
        <w:t xml:space="preserve"> and South Africa [</w:t>
      </w:r>
      <w:proofErr w:type="spellStart"/>
      <w:r w:rsidRPr="002D05D8">
        <w:t>Sinvula</w:t>
      </w:r>
      <w:proofErr w:type="spellEnd"/>
      <w:r w:rsidRPr="002D05D8">
        <w:t xml:space="preserve"> </w:t>
      </w:r>
      <w:r w:rsidRPr="002D05D8">
        <w:rPr>
          <w:i/>
          <w:iCs/>
        </w:rPr>
        <w:t>et al</w:t>
      </w:r>
      <w:r w:rsidRPr="002D05D8">
        <w:t xml:space="preserve"> 2012; Owusu-Banahene </w:t>
      </w:r>
      <w:r w:rsidRPr="002D05D8">
        <w:rPr>
          <w:i/>
          <w:iCs/>
        </w:rPr>
        <w:t>et al</w:t>
      </w:r>
      <w:r w:rsidRPr="002D05D8">
        <w:t xml:space="preserve"> 2013; </w:t>
      </w:r>
      <w:proofErr w:type="spellStart"/>
      <w:r w:rsidRPr="002D05D8">
        <w:t>Sinvula</w:t>
      </w:r>
      <w:proofErr w:type="spellEnd"/>
      <w:r w:rsidRPr="002D05D8">
        <w:t xml:space="preserve"> </w:t>
      </w:r>
      <w:r w:rsidRPr="002D05D8">
        <w:rPr>
          <w:i/>
          <w:iCs/>
        </w:rPr>
        <w:t>et al</w:t>
      </w:r>
      <w:r w:rsidRPr="002D05D8">
        <w:t xml:space="preserve"> 2013; </w:t>
      </w:r>
      <w:proofErr w:type="spellStart"/>
      <w:r w:rsidRPr="002D05D8">
        <w:t>Sinvula</w:t>
      </w:r>
      <w:proofErr w:type="spellEnd"/>
      <w:r w:rsidRPr="002D05D8">
        <w:t xml:space="preserve"> </w:t>
      </w:r>
      <w:r w:rsidRPr="002D05D8">
        <w:rPr>
          <w:i/>
          <w:iCs/>
        </w:rPr>
        <w:t>et al</w:t>
      </w:r>
      <w:r w:rsidRPr="002D05D8">
        <w:t xml:space="preserve"> 2017].  While they found it useful for comparing stakeholders, they made several suggestions for improving the typology [</w:t>
      </w:r>
      <w:proofErr w:type="spellStart"/>
      <w:r w:rsidRPr="002D05D8">
        <w:t>Sinvula</w:t>
      </w:r>
      <w:proofErr w:type="spellEnd"/>
      <w:r w:rsidRPr="002D05D8">
        <w:t xml:space="preserve"> </w:t>
      </w:r>
      <w:r w:rsidRPr="002D05D8">
        <w:rPr>
          <w:i/>
          <w:iCs/>
        </w:rPr>
        <w:t>et al</w:t>
      </w:r>
      <w:r w:rsidRPr="002D05D8">
        <w:t xml:space="preserve"> 2017].</w:t>
      </w:r>
    </w:p>
    <w:p w14:paraId="11784D3F" w14:textId="77777777" w:rsidR="000A69E7" w:rsidRPr="002D05D8" w:rsidRDefault="000A69E7" w:rsidP="000A69E7">
      <w:pPr>
        <w:pStyle w:val="ListParagraph"/>
        <w:numPr>
          <w:ilvl w:val="0"/>
          <w:numId w:val="17"/>
        </w:numPr>
        <w:tabs>
          <w:tab w:val="clear" w:pos="1134"/>
        </w:tabs>
        <w:suppressAutoHyphens w:val="0"/>
        <w:spacing w:after="0"/>
        <w:ind w:left="568" w:hanging="284"/>
        <w:contextualSpacing/>
      </w:pPr>
      <w:r w:rsidRPr="002D05D8">
        <w:t xml:space="preserve">The key issue is how the original six types of stakeholders are expanded upon, because the subtypes are not necessarily subordinate to, or special kinds of, the more general type of stakeholder.  The subtype of a stakeholder could be a descriptive attribute, such as the status, motivation, legal </w:t>
      </w:r>
      <w:proofErr w:type="gramStart"/>
      <w:r w:rsidRPr="002D05D8">
        <w:t>mandate</w:t>
      </w:r>
      <w:proofErr w:type="gramEnd"/>
      <w:r w:rsidRPr="002D05D8">
        <w:t xml:space="preserve"> or skill of the stakeholder.  Hence, the typology could be improved by including both attributes and subtypes and renaming and restructuring the original subtypes appropriately.</w:t>
      </w:r>
    </w:p>
    <w:p w14:paraId="4F381CC3" w14:textId="77777777" w:rsidR="000A69E7" w:rsidRPr="002D05D8" w:rsidRDefault="000A69E7" w:rsidP="000A69E7">
      <w:pPr>
        <w:pStyle w:val="ListParagraph"/>
        <w:numPr>
          <w:ilvl w:val="0"/>
          <w:numId w:val="17"/>
        </w:numPr>
        <w:tabs>
          <w:tab w:val="clear" w:pos="1134"/>
        </w:tabs>
        <w:suppressAutoHyphens w:val="0"/>
        <w:spacing w:after="0"/>
        <w:ind w:left="568" w:hanging="284"/>
        <w:contextualSpacing/>
      </w:pPr>
      <w:r w:rsidRPr="002D05D8">
        <w:t>The current ICA stakeholder model does not characterise the maturity of the stakeholder or organisation.</w:t>
      </w:r>
    </w:p>
    <w:p w14:paraId="36B44B7E" w14:textId="77777777" w:rsidR="000A69E7" w:rsidRPr="002D05D8" w:rsidRDefault="000A69E7" w:rsidP="000A69E7">
      <w:pPr>
        <w:pStyle w:val="ListParagraph"/>
        <w:numPr>
          <w:ilvl w:val="0"/>
          <w:numId w:val="17"/>
        </w:numPr>
        <w:tabs>
          <w:tab w:val="clear" w:pos="1134"/>
        </w:tabs>
        <w:suppressAutoHyphens w:val="0"/>
        <w:spacing w:after="0"/>
        <w:ind w:left="568" w:hanging="284"/>
        <w:contextualSpacing/>
      </w:pPr>
      <w:r w:rsidRPr="002D05D8">
        <w:rPr>
          <w:i/>
        </w:rPr>
        <w:t xml:space="preserve">Producer </w:t>
      </w:r>
      <w:r w:rsidRPr="002D05D8">
        <w:t xml:space="preserve">should be expanded to include public-sector producers that are not an </w:t>
      </w:r>
      <w:r w:rsidRPr="002D05D8">
        <w:rPr>
          <w:i/>
        </w:rPr>
        <w:t>Official Mapping Agency</w:t>
      </w:r>
      <w:r w:rsidRPr="002D05D8">
        <w:t xml:space="preserve">, or to distinguish between local, </w:t>
      </w:r>
      <w:proofErr w:type="gramStart"/>
      <w:r w:rsidRPr="002D05D8">
        <w:t>provincial</w:t>
      </w:r>
      <w:proofErr w:type="gramEnd"/>
      <w:r w:rsidRPr="002D05D8">
        <w:t xml:space="preserve"> and national government Producers.  A single Producer may also be represented by multiple individuals.</w:t>
      </w:r>
    </w:p>
    <w:p w14:paraId="3DC0F4C5" w14:textId="77777777" w:rsidR="000A69E7" w:rsidRPr="002D05D8" w:rsidRDefault="000A69E7" w:rsidP="000A69E7">
      <w:pPr>
        <w:pStyle w:val="ListParagraph"/>
        <w:numPr>
          <w:ilvl w:val="0"/>
          <w:numId w:val="17"/>
        </w:numPr>
        <w:tabs>
          <w:tab w:val="clear" w:pos="1134"/>
        </w:tabs>
        <w:suppressAutoHyphens w:val="0"/>
        <w:spacing w:after="0"/>
        <w:ind w:left="568" w:hanging="284"/>
        <w:contextualSpacing/>
      </w:pPr>
      <w:r w:rsidRPr="002D05D8">
        <w:t xml:space="preserve">Further roles for a </w:t>
      </w:r>
      <w:r w:rsidRPr="002D05D8">
        <w:rPr>
          <w:i/>
        </w:rPr>
        <w:t xml:space="preserve">Producer </w:t>
      </w:r>
      <w:r w:rsidRPr="002D05D8">
        <w:t xml:space="preserve">could be a coordinator, </w:t>
      </w:r>
      <w:proofErr w:type="gramStart"/>
      <w:r w:rsidRPr="002D05D8">
        <w:t>integrator</w:t>
      </w:r>
      <w:proofErr w:type="gramEnd"/>
      <w:r w:rsidRPr="002D05D8">
        <w:t xml:space="preserve"> and producer of derived datasets.  However, an integrator is catered for as the </w:t>
      </w:r>
      <w:r w:rsidRPr="002D05D8">
        <w:rPr>
          <w:i/>
        </w:rPr>
        <w:t xml:space="preserve">Aggregator/Integrator </w:t>
      </w:r>
      <w:r w:rsidRPr="002D05D8">
        <w:t xml:space="preserve">form of </w:t>
      </w:r>
      <w:r w:rsidRPr="002D05D8">
        <w:rPr>
          <w:i/>
        </w:rPr>
        <w:t xml:space="preserve">VAR </w:t>
      </w:r>
      <w:r w:rsidRPr="002D05D8">
        <w:t xml:space="preserve">and a producer of derived datasets is probably a </w:t>
      </w:r>
      <w:r w:rsidRPr="002D05D8">
        <w:rPr>
          <w:i/>
        </w:rPr>
        <w:t xml:space="preserve">Publisher </w:t>
      </w:r>
      <w:r w:rsidRPr="002D05D8">
        <w:t xml:space="preserve">form of a </w:t>
      </w:r>
      <w:r w:rsidRPr="002D05D8">
        <w:rPr>
          <w:i/>
        </w:rPr>
        <w:t>VAR</w:t>
      </w:r>
      <w:r w:rsidRPr="002D05D8">
        <w:t xml:space="preserve">.  The confusion probably arises because any person or organisation can have multiple stakeholder roles, so a mapping agency can be both a </w:t>
      </w:r>
      <w:r w:rsidRPr="002D05D8">
        <w:rPr>
          <w:i/>
        </w:rPr>
        <w:t xml:space="preserve">Producer </w:t>
      </w:r>
      <w:r w:rsidRPr="002D05D8">
        <w:t xml:space="preserve">(being a part of the organisation at the start of the value chain for that organisation) and a </w:t>
      </w:r>
      <w:r w:rsidRPr="002D05D8">
        <w:rPr>
          <w:i/>
        </w:rPr>
        <w:t xml:space="preserve">VAR </w:t>
      </w:r>
      <w:r w:rsidRPr="002D05D8">
        <w:t>(at the end of that value chain).</w:t>
      </w:r>
    </w:p>
    <w:p w14:paraId="2E7AF4CC" w14:textId="2AE02AE4" w:rsidR="000A69E7" w:rsidRPr="002D05D8" w:rsidRDefault="000A69E7" w:rsidP="000A69E7">
      <w:pPr>
        <w:pStyle w:val="ListParagraph"/>
        <w:numPr>
          <w:ilvl w:val="0"/>
          <w:numId w:val="17"/>
        </w:numPr>
        <w:tabs>
          <w:tab w:val="clear" w:pos="1134"/>
        </w:tabs>
        <w:suppressAutoHyphens w:val="0"/>
        <w:spacing w:after="0"/>
        <w:ind w:left="568" w:hanging="284"/>
        <w:contextualSpacing/>
      </w:pPr>
      <w:r w:rsidRPr="002D05D8">
        <w:t xml:space="preserve">A </w:t>
      </w:r>
      <w:r w:rsidRPr="002D05D8">
        <w:rPr>
          <w:i/>
        </w:rPr>
        <w:t xml:space="preserve">coordinator </w:t>
      </w:r>
      <w:r w:rsidRPr="002D05D8">
        <w:t>was described as playing “a coordinating role by arranging that street centrelines from local, provincial and national government are integrated into a single national base dataset” [</w:t>
      </w:r>
      <w:proofErr w:type="spellStart"/>
      <w:r w:rsidRPr="002D05D8">
        <w:t>Sinvula</w:t>
      </w:r>
      <w:proofErr w:type="spellEnd"/>
      <w:r w:rsidRPr="002D05D8">
        <w:t xml:space="preserve"> </w:t>
      </w:r>
      <w:r w:rsidRPr="002D05D8">
        <w:rPr>
          <w:i/>
          <w:iCs/>
        </w:rPr>
        <w:t>et al</w:t>
      </w:r>
      <w:r w:rsidRPr="002D05D8">
        <w:t xml:space="preserve"> 2017], which is the </w:t>
      </w:r>
      <w:r w:rsidRPr="002D05D8">
        <w:rPr>
          <w:i/>
        </w:rPr>
        <w:t xml:space="preserve">Secretariat </w:t>
      </w:r>
      <w:r w:rsidRPr="002D05D8">
        <w:t xml:space="preserve">form of the </w:t>
      </w:r>
      <w:r w:rsidRPr="002D05D8">
        <w:rPr>
          <w:i/>
        </w:rPr>
        <w:t>Policy Maker</w:t>
      </w:r>
      <w:r w:rsidRPr="002D05D8">
        <w:t>.  For the South African SDI</w:t>
      </w:r>
      <w:r w:rsidR="00EC64EB">
        <w:t xml:space="preserve"> [South Africa 2003]</w:t>
      </w:r>
      <w:r w:rsidRPr="002D05D8">
        <w:t xml:space="preserve">, the </w:t>
      </w:r>
      <w:r w:rsidRPr="002D05D8">
        <w:rPr>
          <w:i/>
        </w:rPr>
        <w:t xml:space="preserve">Secretariat </w:t>
      </w:r>
      <w:r w:rsidRPr="002D05D8">
        <w:t xml:space="preserve">has delegated such a function to </w:t>
      </w:r>
      <w:r w:rsidRPr="002D05D8">
        <w:rPr>
          <w:i/>
        </w:rPr>
        <w:t>Base Data Set Coordinators</w:t>
      </w:r>
      <w:r w:rsidRPr="002D05D8">
        <w:t xml:space="preserve">, so they are agents for the </w:t>
      </w:r>
      <w:r w:rsidRPr="002D05D8">
        <w:rPr>
          <w:i/>
        </w:rPr>
        <w:t>Secretariat</w:t>
      </w:r>
      <w:r w:rsidRPr="002D05D8">
        <w:t xml:space="preserve"> [South Africa 2015].  </w:t>
      </w:r>
      <w:r w:rsidRPr="002D05D8">
        <w:rPr>
          <w:i/>
        </w:rPr>
        <w:t>Agency</w:t>
      </w:r>
      <w:r w:rsidRPr="002D05D8">
        <w:t xml:space="preserve">, </w:t>
      </w:r>
      <w:r w:rsidRPr="002D05D8">
        <w:rPr>
          <w:i/>
        </w:rPr>
        <w:t xml:space="preserve">contracting </w:t>
      </w:r>
      <w:r w:rsidRPr="002D05D8">
        <w:t xml:space="preserve">or </w:t>
      </w:r>
      <w:r w:rsidRPr="002D05D8">
        <w:rPr>
          <w:i/>
        </w:rPr>
        <w:t xml:space="preserve">representation </w:t>
      </w:r>
      <w:r w:rsidRPr="002D05D8">
        <w:t>roles or functions are not necessarily separate stakeholders in the model.</w:t>
      </w:r>
    </w:p>
    <w:p w14:paraId="3E0DF7AC" w14:textId="77777777" w:rsidR="000A69E7" w:rsidRPr="002D05D8" w:rsidRDefault="000A69E7" w:rsidP="000A69E7">
      <w:pPr>
        <w:pStyle w:val="ListParagraph"/>
        <w:numPr>
          <w:ilvl w:val="0"/>
          <w:numId w:val="17"/>
        </w:numPr>
        <w:tabs>
          <w:tab w:val="clear" w:pos="1134"/>
        </w:tabs>
        <w:suppressAutoHyphens w:val="0"/>
        <w:spacing w:after="0"/>
        <w:ind w:left="568" w:hanging="284"/>
        <w:contextualSpacing/>
      </w:pPr>
      <w:r w:rsidRPr="002D05D8">
        <w:t xml:space="preserve">Having only two types of End User is limited, as was noted in Cooper </w:t>
      </w:r>
      <w:r w:rsidRPr="002D05D8">
        <w:rPr>
          <w:i/>
          <w:iCs/>
        </w:rPr>
        <w:t>et al</w:t>
      </w:r>
      <w:r w:rsidRPr="002D05D8">
        <w:t xml:space="preserve"> [2011].  Further refinement could be based on how data are used (eg: view, manipulate or transform), the purpose for using the data (eg: mapping, </w:t>
      </w:r>
      <w:proofErr w:type="gramStart"/>
      <w:r w:rsidRPr="002D05D8">
        <w:t>visualization</w:t>
      </w:r>
      <w:proofErr w:type="gramEnd"/>
      <w:r w:rsidRPr="002D05D8">
        <w:t xml:space="preserve"> or analysis) and/or on whether the </w:t>
      </w:r>
      <w:r w:rsidRPr="002D05D8">
        <w:rPr>
          <w:i/>
          <w:iCs/>
        </w:rPr>
        <w:t>End User</w:t>
      </w:r>
      <w:r w:rsidRPr="002D05D8">
        <w:t xml:space="preserve"> is an organisation or an individual.</w:t>
      </w:r>
    </w:p>
    <w:p w14:paraId="38E358DA" w14:textId="77777777" w:rsidR="000A69E7" w:rsidRPr="002D05D8" w:rsidRDefault="000A69E7" w:rsidP="000A69E7">
      <w:pPr>
        <w:pStyle w:val="ListParagraph"/>
        <w:numPr>
          <w:ilvl w:val="0"/>
          <w:numId w:val="17"/>
        </w:numPr>
        <w:tabs>
          <w:tab w:val="clear" w:pos="1134"/>
        </w:tabs>
        <w:suppressAutoHyphens w:val="0"/>
        <w:spacing w:after="0"/>
        <w:ind w:left="568" w:hanging="284"/>
        <w:contextualSpacing/>
      </w:pPr>
      <w:r w:rsidRPr="002D05D8">
        <w:t xml:space="preserve">A </w:t>
      </w:r>
      <w:r w:rsidRPr="002D05D8">
        <w:rPr>
          <w:i/>
        </w:rPr>
        <w:t xml:space="preserve">Decision Maker </w:t>
      </w:r>
      <w:r w:rsidRPr="002D05D8">
        <w:t xml:space="preserve">is not necessarily a </w:t>
      </w:r>
      <w:r w:rsidRPr="002D05D8">
        <w:rPr>
          <w:i/>
        </w:rPr>
        <w:t xml:space="preserve">Policy Maker </w:t>
      </w:r>
      <w:r w:rsidRPr="002D05D8">
        <w:t>[</w:t>
      </w:r>
      <w:proofErr w:type="spellStart"/>
      <w:r w:rsidRPr="002D05D8">
        <w:t>Sinvula</w:t>
      </w:r>
      <w:proofErr w:type="spellEnd"/>
      <w:r w:rsidRPr="002D05D8">
        <w:t xml:space="preserve"> </w:t>
      </w:r>
      <w:r w:rsidRPr="002D05D8">
        <w:rPr>
          <w:i/>
          <w:iCs/>
        </w:rPr>
        <w:t>et al</w:t>
      </w:r>
      <w:r w:rsidRPr="002D05D8">
        <w:t xml:space="preserve"> 2017], but this is probably a misunderstanding of a </w:t>
      </w:r>
      <w:r w:rsidRPr="002D05D8">
        <w:rPr>
          <w:i/>
        </w:rPr>
        <w:t>Policy Maker</w:t>
      </w:r>
      <w:r w:rsidRPr="002D05D8">
        <w:t>, so that definition needs improvement.</w:t>
      </w:r>
    </w:p>
    <w:p w14:paraId="659CE1A6" w14:textId="77777777" w:rsidR="000A69E7" w:rsidRPr="002D05D8" w:rsidRDefault="000A69E7" w:rsidP="000A69E7">
      <w:pPr>
        <w:spacing w:after="0"/>
      </w:pPr>
      <w:r w:rsidRPr="002D05D8">
        <w:t xml:space="preserve">The anonymous referees who reviewed </w:t>
      </w:r>
      <w:proofErr w:type="spellStart"/>
      <w:r w:rsidRPr="002D05D8">
        <w:t>Sinvula</w:t>
      </w:r>
      <w:proofErr w:type="spellEnd"/>
      <w:r w:rsidRPr="002D05D8">
        <w:t xml:space="preserve"> </w:t>
      </w:r>
      <w:r w:rsidRPr="002D05D8">
        <w:rPr>
          <w:i/>
          <w:iCs/>
        </w:rPr>
        <w:t>et al</w:t>
      </w:r>
      <w:r w:rsidRPr="002D05D8">
        <w:t xml:space="preserve"> [2017] also made suggestions on improving the stakeholder model, such as including SDI-financiers (donors), SDI-researchers, SDI-</w:t>
      </w:r>
      <w:proofErr w:type="gramStart"/>
      <w:r w:rsidRPr="002D05D8">
        <w:t>educators</w:t>
      </w:r>
      <w:proofErr w:type="gramEnd"/>
      <w:r w:rsidRPr="002D05D8">
        <w:t xml:space="preserve"> and relevant non-government organisations (NGOs).  They also asked about dealing with shifts in the roles and characteristics of SDI stakeholders over time.</w:t>
      </w:r>
    </w:p>
    <w:p w14:paraId="06FD67DD" w14:textId="021FB115" w:rsidR="003C07AE" w:rsidRDefault="000A69E7" w:rsidP="000A69E7">
      <w:pPr>
        <w:pStyle w:val="Heading2"/>
      </w:pPr>
      <w:r w:rsidRPr="000A69E7">
        <w:t xml:space="preserve">Possible attributes, adapted from Cooper </w:t>
      </w:r>
      <w:r>
        <w:t>[</w:t>
      </w:r>
      <w:r w:rsidRPr="000A69E7">
        <w:t>2016</w:t>
      </w:r>
      <w:r>
        <w:t>]</w:t>
      </w:r>
    </w:p>
    <w:p w14:paraId="7262717E" w14:textId="77777777" w:rsidR="000A69E7" w:rsidRPr="002D05D8" w:rsidRDefault="000A69E7" w:rsidP="000A69E7">
      <w:pPr>
        <w:spacing w:after="0"/>
      </w:pPr>
      <w:r w:rsidRPr="002D05D8">
        <w:t xml:space="preserve">There are attributes that could be common across all six types of stakeholders in an SDI, such as their motivation for contributing to, or using, any </w:t>
      </w:r>
      <w:proofErr w:type="gramStart"/>
      <w:r w:rsidRPr="002D05D8">
        <w:t>particular SDI</w:t>
      </w:r>
      <w:proofErr w:type="gramEnd"/>
      <w:r w:rsidRPr="002D05D8">
        <w:t xml:space="preserve">.  Other attributes could relate to the stakeholder or to the contribution, such as data, products, services, software, metadata, policies, leadership, </w:t>
      </w:r>
      <w:proofErr w:type="gramStart"/>
      <w:r w:rsidRPr="002D05D8">
        <w:t>resources</w:t>
      </w:r>
      <w:proofErr w:type="gramEnd"/>
      <w:r w:rsidRPr="002D05D8">
        <w:t xml:space="preserve"> or technologies.  Cooper [2016] identified the following attributes as being useful for classifying user-generated content, but they could also be attributes of stakeholders in an SDI:</w:t>
      </w:r>
    </w:p>
    <w:p w14:paraId="45A8DFEA" w14:textId="5D3D6406" w:rsidR="000A69E7" w:rsidRPr="002D05D8" w:rsidRDefault="000A69E7" w:rsidP="000A69E7">
      <w:pPr>
        <w:pStyle w:val="ListParagraph"/>
        <w:numPr>
          <w:ilvl w:val="0"/>
          <w:numId w:val="18"/>
        </w:numPr>
        <w:tabs>
          <w:tab w:val="clear" w:pos="1134"/>
        </w:tabs>
        <w:suppressAutoHyphens w:val="0"/>
        <w:spacing w:after="0"/>
        <w:ind w:left="568" w:hanging="284"/>
        <w:contextualSpacing/>
      </w:pPr>
      <w:r w:rsidRPr="002D05D8">
        <w:t xml:space="preserve">The </w:t>
      </w:r>
      <w:r w:rsidRPr="002D05D8">
        <w:rPr>
          <w:i/>
        </w:rPr>
        <w:t xml:space="preserve">authority </w:t>
      </w:r>
      <w:r w:rsidRPr="002D05D8">
        <w:t xml:space="preserve">or </w:t>
      </w:r>
      <w:r w:rsidRPr="002D05D8">
        <w:rPr>
          <w:i/>
        </w:rPr>
        <w:t xml:space="preserve">ability </w:t>
      </w:r>
      <w:r w:rsidRPr="002D05D8">
        <w:t xml:space="preserve">of the stakeholder to make the contribution and if they are </w:t>
      </w:r>
      <w:r w:rsidRPr="002D05D8">
        <w:rPr>
          <w:i/>
        </w:rPr>
        <w:t xml:space="preserve">liable </w:t>
      </w:r>
      <w:r w:rsidRPr="002D05D8">
        <w:t>for the contribution and any consequences thereof.</w:t>
      </w:r>
    </w:p>
    <w:p w14:paraId="7AA2F8A2" w14:textId="77777777" w:rsidR="000A69E7" w:rsidRPr="002D05D8" w:rsidRDefault="000A69E7" w:rsidP="000A69E7">
      <w:pPr>
        <w:pStyle w:val="ListParagraph"/>
        <w:numPr>
          <w:ilvl w:val="0"/>
          <w:numId w:val="18"/>
        </w:numPr>
        <w:tabs>
          <w:tab w:val="clear" w:pos="1134"/>
        </w:tabs>
        <w:suppressAutoHyphens w:val="0"/>
        <w:spacing w:after="0"/>
        <w:ind w:left="568" w:hanging="284"/>
        <w:contextualSpacing/>
      </w:pPr>
      <w:r w:rsidRPr="002D05D8">
        <w:t xml:space="preserve">The </w:t>
      </w:r>
      <w:r w:rsidRPr="002D05D8">
        <w:rPr>
          <w:i/>
        </w:rPr>
        <w:t xml:space="preserve">ownership </w:t>
      </w:r>
      <w:r w:rsidRPr="002D05D8">
        <w:t xml:space="preserve">or </w:t>
      </w:r>
      <w:r w:rsidRPr="002D05D8">
        <w:rPr>
          <w:i/>
        </w:rPr>
        <w:t xml:space="preserve">authorship </w:t>
      </w:r>
      <w:r w:rsidRPr="002D05D8">
        <w:t xml:space="preserve">of the contribution and issues to </w:t>
      </w:r>
      <w:r w:rsidRPr="002D05D8">
        <w:rPr>
          <w:i/>
        </w:rPr>
        <w:t>intellectual property</w:t>
      </w:r>
      <w:r w:rsidRPr="002D05D8">
        <w:t>.</w:t>
      </w:r>
    </w:p>
    <w:p w14:paraId="59295CE1" w14:textId="77777777" w:rsidR="000A69E7" w:rsidRPr="002D05D8" w:rsidRDefault="000A69E7" w:rsidP="000A69E7">
      <w:pPr>
        <w:pStyle w:val="ListParagraph"/>
        <w:numPr>
          <w:ilvl w:val="0"/>
          <w:numId w:val="18"/>
        </w:numPr>
        <w:tabs>
          <w:tab w:val="clear" w:pos="1134"/>
        </w:tabs>
        <w:suppressAutoHyphens w:val="0"/>
        <w:spacing w:after="0"/>
        <w:ind w:left="568" w:hanging="284"/>
        <w:contextualSpacing/>
      </w:pPr>
      <w:r w:rsidRPr="002D05D8">
        <w:t xml:space="preserve">The nature of </w:t>
      </w:r>
      <w:r w:rsidRPr="002D05D8">
        <w:rPr>
          <w:i/>
        </w:rPr>
        <w:t xml:space="preserve">funding </w:t>
      </w:r>
      <w:r w:rsidRPr="002D05D8">
        <w:t>for the contribution, which could benevolent, or to promote a vested interest or agenda.</w:t>
      </w:r>
    </w:p>
    <w:p w14:paraId="22DD11A9" w14:textId="77777777" w:rsidR="000A69E7" w:rsidRPr="002D05D8" w:rsidRDefault="000A69E7" w:rsidP="000A69E7">
      <w:pPr>
        <w:pStyle w:val="ListParagraph"/>
        <w:numPr>
          <w:ilvl w:val="0"/>
          <w:numId w:val="18"/>
        </w:numPr>
        <w:tabs>
          <w:tab w:val="clear" w:pos="1134"/>
        </w:tabs>
        <w:suppressAutoHyphens w:val="0"/>
        <w:spacing w:after="0"/>
        <w:ind w:left="568" w:hanging="284"/>
        <w:contextualSpacing/>
      </w:pPr>
      <w:r w:rsidRPr="002D05D8">
        <w:t xml:space="preserve">The </w:t>
      </w:r>
      <w:r w:rsidRPr="002D05D8">
        <w:rPr>
          <w:i/>
        </w:rPr>
        <w:t xml:space="preserve">ethics </w:t>
      </w:r>
      <w:r w:rsidRPr="002D05D8">
        <w:t>related to the contribution, including invasion of privacy, arbitrary restrictions, constraining other resources or mischief.</w:t>
      </w:r>
    </w:p>
    <w:p w14:paraId="15FB45C8" w14:textId="77777777" w:rsidR="000A69E7" w:rsidRPr="002D05D8" w:rsidRDefault="000A69E7" w:rsidP="000A69E7">
      <w:pPr>
        <w:pStyle w:val="ListParagraph"/>
        <w:numPr>
          <w:ilvl w:val="0"/>
          <w:numId w:val="18"/>
        </w:numPr>
        <w:tabs>
          <w:tab w:val="clear" w:pos="1134"/>
        </w:tabs>
        <w:suppressAutoHyphens w:val="0"/>
        <w:spacing w:after="0"/>
        <w:ind w:left="568" w:hanging="284"/>
        <w:contextualSpacing/>
      </w:pPr>
      <w:r w:rsidRPr="002D05D8">
        <w:t xml:space="preserve">The </w:t>
      </w:r>
      <w:r w:rsidRPr="002D05D8">
        <w:rPr>
          <w:i/>
        </w:rPr>
        <w:t xml:space="preserve">personality </w:t>
      </w:r>
      <w:r w:rsidRPr="002D05D8">
        <w:t>of the contribution, which could be impersonal, subjective, pseudo-objective or objective.</w:t>
      </w:r>
    </w:p>
    <w:p w14:paraId="63B0C4C6" w14:textId="77777777" w:rsidR="000A69E7" w:rsidRPr="002D05D8" w:rsidRDefault="000A69E7" w:rsidP="000A69E7">
      <w:pPr>
        <w:pStyle w:val="ListParagraph"/>
        <w:numPr>
          <w:ilvl w:val="0"/>
          <w:numId w:val="18"/>
        </w:numPr>
        <w:tabs>
          <w:tab w:val="clear" w:pos="1134"/>
        </w:tabs>
        <w:suppressAutoHyphens w:val="0"/>
        <w:spacing w:after="0"/>
        <w:ind w:left="568" w:hanging="284"/>
        <w:contextualSpacing/>
      </w:pPr>
      <w:r w:rsidRPr="002D05D8">
        <w:t xml:space="preserve">The </w:t>
      </w:r>
      <w:r w:rsidRPr="002D05D8">
        <w:rPr>
          <w:i/>
        </w:rPr>
        <w:t>nature</w:t>
      </w:r>
      <w:r w:rsidRPr="002D05D8">
        <w:t xml:space="preserve">, </w:t>
      </w:r>
      <w:r w:rsidRPr="002D05D8">
        <w:rPr>
          <w:i/>
        </w:rPr>
        <w:t>size</w:t>
      </w:r>
      <w:r w:rsidRPr="002D05D8">
        <w:t xml:space="preserve">, </w:t>
      </w:r>
      <w:r w:rsidRPr="002D05D8">
        <w:rPr>
          <w:i/>
        </w:rPr>
        <w:t>intelligibility</w:t>
      </w:r>
      <w:r w:rsidRPr="002D05D8">
        <w:t xml:space="preserve">, </w:t>
      </w:r>
      <w:r w:rsidRPr="002D05D8">
        <w:rPr>
          <w:i/>
        </w:rPr>
        <w:t>quality</w:t>
      </w:r>
      <w:r w:rsidRPr="002D05D8">
        <w:t xml:space="preserve">, </w:t>
      </w:r>
      <w:r w:rsidRPr="002D05D8">
        <w:rPr>
          <w:i/>
        </w:rPr>
        <w:t>value</w:t>
      </w:r>
      <w:r w:rsidRPr="002D05D8">
        <w:t xml:space="preserve">, </w:t>
      </w:r>
      <w:r w:rsidRPr="002D05D8">
        <w:rPr>
          <w:i/>
        </w:rPr>
        <w:t>relevance</w:t>
      </w:r>
      <w:r w:rsidRPr="002D05D8">
        <w:t xml:space="preserve">, </w:t>
      </w:r>
      <w:proofErr w:type="gramStart"/>
      <w:r w:rsidRPr="002D05D8">
        <w:rPr>
          <w:i/>
        </w:rPr>
        <w:t>utility</w:t>
      </w:r>
      <w:proofErr w:type="gramEnd"/>
      <w:r w:rsidRPr="002D05D8">
        <w:rPr>
          <w:i/>
        </w:rPr>
        <w:t xml:space="preserve"> </w:t>
      </w:r>
      <w:r w:rsidRPr="002D05D8">
        <w:t xml:space="preserve">or </w:t>
      </w:r>
      <w:r w:rsidRPr="002D05D8">
        <w:rPr>
          <w:i/>
        </w:rPr>
        <w:t xml:space="preserve">reliability </w:t>
      </w:r>
      <w:r w:rsidRPr="002D05D8">
        <w:t>of the contribution.</w:t>
      </w:r>
    </w:p>
    <w:p w14:paraId="0F79C5D6" w14:textId="77777777" w:rsidR="000A69E7" w:rsidRPr="002D05D8" w:rsidRDefault="000A69E7" w:rsidP="000A69E7">
      <w:pPr>
        <w:pStyle w:val="ListParagraph"/>
        <w:numPr>
          <w:ilvl w:val="0"/>
          <w:numId w:val="18"/>
        </w:numPr>
        <w:tabs>
          <w:tab w:val="clear" w:pos="1134"/>
        </w:tabs>
        <w:suppressAutoHyphens w:val="0"/>
        <w:spacing w:after="0"/>
        <w:ind w:left="568" w:hanging="284"/>
        <w:contextualSpacing/>
      </w:pPr>
      <w:r w:rsidRPr="002D05D8">
        <w:t xml:space="preserve">The documentation of the contribution, that is, the </w:t>
      </w:r>
      <w:r w:rsidRPr="002D05D8">
        <w:rPr>
          <w:i/>
        </w:rPr>
        <w:t>metadata</w:t>
      </w:r>
      <w:r w:rsidRPr="002D05D8">
        <w:t xml:space="preserve"> [Cooper 2016].</w:t>
      </w:r>
    </w:p>
    <w:p w14:paraId="4DA7576B" w14:textId="482CFEE8" w:rsidR="000A69E7" w:rsidRDefault="005916EE" w:rsidP="005916EE">
      <w:pPr>
        <w:pStyle w:val="Heading2"/>
      </w:pPr>
      <w:r w:rsidRPr="005916EE">
        <w:t>Suggestions from the ICA Commission in Dresden</w:t>
      </w:r>
    </w:p>
    <w:p w14:paraId="582633E6" w14:textId="77777777" w:rsidR="005916EE" w:rsidRPr="002D05D8" w:rsidRDefault="005916EE" w:rsidP="005916EE">
      <w:pPr>
        <w:spacing w:after="0"/>
      </w:pPr>
      <w:r w:rsidRPr="002D05D8">
        <w:t xml:space="preserve">The ICA Commission on SDI &amp; Standards met in Dresden, Germany, in August 2013, just before the 26th International Cartographic Conference.  The Commission realized that ‘subtype’ was not necessarily a relevant label for refining the types of stakeholders.  However, labels such as ‘specialization’, ‘activity’, ‘perspective’, ‘dimension’, ‘viewpoint’ or ‘role’ also do not by themselves and individually describe all the refinements adequately.  Hence, it might be useful to use modelling terms such as </w:t>
      </w:r>
      <w:r w:rsidRPr="002D05D8">
        <w:rPr>
          <w:i/>
        </w:rPr>
        <w:t>sub-class</w:t>
      </w:r>
      <w:r w:rsidRPr="002D05D8">
        <w:t xml:space="preserve">, or </w:t>
      </w:r>
      <w:r w:rsidRPr="002D05D8">
        <w:rPr>
          <w:i/>
        </w:rPr>
        <w:t xml:space="preserve">parent </w:t>
      </w:r>
      <w:r w:rsidRPr="002D05D8">
        <w:t xml:space="preserve">and </w:t>
      </w:r>
      <w:r w:rsidRPr="002D05D8">
        <w:rPr>
          <w:i/>
        </w:rPr>
        <w:t xml:space="preserve">child </w:t>
      </w:r>
      <w:r w:rsidRPr="002D05D8">
        <w:t>class.</w:t>
      </w:r>
    </w:p>
    <w:p w14:paraId="7B5005D2" w14:textId="77777777" w:rsidR="005916EE" w:rsidRPr="002D05D8" w:rsidRDefault="005916EE" w:rsidP="005916EE">
      <w:pPr>
        <w:spacing w:after="0"/>
      </w:pPr>
      <w:r w:rsidRPr="002D05D8">
        <w:t xml:space="preserve">It should be possible to use the ICA models of an SDI without being experts on the model itself, or on UML or RM ODP.  Similarly, it should not be necessary to have to explain the SDI concepts and issues, so all the concepts should be defined and illustrated properly.  It also raises the question of if the models are too difficult or too abstract to use in practice – though they have been used successfully by Oliveira </w:t>
      </w:r>
      <w:r w:rsidRPr="002D05D8">
        <w:rPr>
          <w:i/>
          <w:iCs/>
        </w:rPr>
        <w:t>et al</w:t>
      </w:r>
      <w:r w:rsidRPr="002D05D8">
        <w:t xml:space="preserve"> [2016a], Oliveira </w:t>
      </w:r>
      <w:r w:rsidRPr="002D05D8">
        <w:rPr>
          <w:i/>
          <w:iCs/>
        </w:rPr>
        <w:t>et al</w:t>
      </w:r>
      <w:r w:rsidRPr="002D05D8">
        <w:t xml:space="preserve"> </w:t>
      </w:r>
      <w:r w:rsidRPr="002D05D8">
        <w:lastRenderedPageBreak/>
        <w:t xml:space="preserve">[2016b], Oliveira </w:t>
      </w:r>
      <w:r w:rsidRPr="002D05D8">
        <w:rPr>
          <w:i/>
          <w:iCs/>
        </w:rPr>
        <w:t>et al</w:t>
      </w:r>
      <w:r w:rsidRPr="002D05D8">
        <w:t xml:space="preserve"> [2017], Torres </w:t>
      </w:r>
      <w:r w:rsidRPr="002D05D8">
        <w:rPr>
          <w:i/>
          <w:iCs/>
        </w:rPr>
        <w:t>et al</w:t>
      </w:r>
      <w:r w:rsidRPr="002D05D8">
        <w:t xml:space="preserve"> [2017a], Torres </w:t>
      </w:r>
      <w:r w:rsidRPr="002D05D8">
        <w:rPr>
          <w:i/>
          <w:iCs/>
        </w:rPr>
        <w:t>et al</w:t>
      </w:r>
      <w:r w:rsidRPr="002D05D8">
        <w:t xml:space="preserve"> [2017b] and Silva </w:t>
      </w:r>
      <w:r w:rsidRPr="002D05D8">
        <w:rPr>
          <w:i/>
          <w:iCs/>
        </w:rPr>
        <w:t>et al</w:t>
      </w:r>
      <w:r w:rsidRPr="002D05D8">
        <w:t xml:space="preserve"> [2022], for example.</w:t>
      </w:r>
    </w:p>
    <w:p w14:paraId="3479BA13" w14:textId="77777777" w:rsidR="005916EE" w:rsidRPr="002D05D8" w:rsidRDefault="005916EE" w:rsidP="005916EE">
      <w:pPr>
        <w:spacing w:after="0"/>
      </w:pPr>
      <w:r w:rsidRPr="002D05D8">
        <w:t xml:space="preserve">The Commission also observed that the </w:t>
      </w:r>
      <w:r w:rsidRPr="002D05D8">
        <w:rPr>
          <w:i/>
        </w:rPr>
        <w:t xml:space="preserve">Secretariat </w:t>
      </w:r>
      <w:r w:rsidRPr="002D05D8">
        <w:t xml:space="preserve">for an SDI is not necessarily organised optimally nor housed in the appropriate organisation, as it depends on politics, funding, etc.  Then, what is the significance of a particular sub-type or specialization not existing within any </w:t>
      </w:r>
      <w:proofErr w:type="gramStart"/>
      <w:r w:rsidRPr="002D05D8">
        <w:t>particular SDI</w:t>
      </w:r>
      <w:proofErr w:type="gramEnd"/>
      <w:r w:rsidRPr="002D05D8">
        <w:t>?</w:t>
      </w:r>
    </w:p>
    <w:p w14:paraId="22CDFA04" w14:textId="0FBAE5C0" w:rsidR="00EA31B8" w:rsidRPr="002D05D8" w:rsidRDefault="003A5EE9" w:rsidP="003A5EE9">
      <w:pPr>
        <w:pStyle w:val="Heading2"/>
      </w:pPr>
      <w:r w:rsidRPr="003A5EE9">
        <w:t xml:space="preserve">Improvements suggested by Coetzee </w:t>
      </w:r>
      <w:r w:rsidRPr="003A5EE9">
        <w:rPr>
          <w:i/>
          <w:iCs/>
        </w:rPr>
        <w:t>et al</w:t>
      </w:r>
      <w:r w:rsidRPr="003A5EE9">
        <w:t xml:space="preserve"> </w:t>
      </w:r>
      <w:r>
        <w:t>[</w:t>
      </w:r>
      <w:r w:rsidRPr="003A5EE9">
        <w:t>2017</w:t>
      </w:r>
      <w:r>
        <w:t>]</w:t>
      </w:r>
    </w:p>
    <w:p w14:paraId="618477B3" w14:textId="77777777" w:rsidR="00A56C4A" w:rsidRPr="002D05D8" w:rsidRDefault="00A56C4A" w:rsidP="00A56C4A">
      <w:pPr>
        <w:spacing w:after="0"/>
      </w:pPr>
      <w:r w:rsidRPr="002D05D8">
        <w:t xml:space="preserve">Subsequently, the ICA Commission examined academic SDIs for research and education [Coetzee </w:t>
      </w:r>
      <w:r w:rsidRPr="002D05D8">
        <w:rPr>
          <w:i/>
          <w:iCs/>
        </w:rPr>
        <w:t>et al</w:t>
      </w:r>
      <w:r w:rsidRPr="002D05D8">
        <w:t xml:space="preserve"> 2017].  The Commission applied the high-level model with six stakeholders [Hjelmager </w:t>
      </w:r>
      <w:r w:rsidRPr="002D05D8">
        <w:rPr>
          <w:i/>
          <w:iCs/>
        </w:rPr>
        <w:t>et al</w:t>
      </w:r>
      <w:r w:rsidRPr="002D05D8">
        <w:t xml:space="preserve"> 2008] to seven universities and research organisations around the world and suggested further additions to the ICA SDI stakeholder model, without defining these roles [Coetzee </w:t>
      </w:r>
      <w:r w:rsidRPr="002D05D8">
        <w:rPr>
          <w:i/>
          <w:iCs/>
        </w:rPr>
        <w:t>et al</w:t>
      </w:r>
      <w:r w:rsidRPr="002D05D8">
        <w:t xml:space="preserve"> 2017].</w:t>
      </w:r>
    </w:p>
    <w:p w14:paraId="31F0F129" w14:textId="77777777" w:rsidR="00A56C4A" w:rsidRPr="002D05D8" w:rsidRDefault="00A56C4A" w:rsidP="00A56C4A">
      <w:pPr>
        <w:pStyle w:val="ListParagraph"/>
        <w:numPr>
          <w:ilvl w:val="0"/>
          <w:numId w:val="19"/>
        </w:numPr>
        <w:tabs>
          <w:tab w:val="clear" w:pos="1134"/>
        </w:tabs>
        <w:suppressAutoHyphens w:val="0"/>
        <w:spacing w:after="0"/>
        <w:ind w:left="568" w:hanging="284"/>
        <w:contextualSpacing/>
      </w:pPr>
      <w:r w:rsidRPr="002D05D8">
        <w:rPr>
          <w:i/>
        </w:rPr>
        <w:t>Funder</w:t>
      </w:r>
      <w:r w:rsidRPr="002D05D8">
        <w:t xml:space="preserve">, </w:t>
      </w:r>
      <w:r w:rsidRPr="002D05D8">
        <w:rPr>
          <w:i/>
        </w:rPr>
        <w:t xml:space="preserve">Organisation </w:t>
      </w:r>
      <w:r w:rsidRPr="002D05D8">
        <w:t xml:space="preserve">and </w:t>
      </w:r>
      <w:r w:rsidRPr="002D05D8">
        <w:rPr>
          <w:i/>
        </w:rPr>
        <w:t xml:space="preserve">External Legislator </w:t>
      </w:r>
      <w:r w:rsidRPr="002D05D8">
        <w:t xml:space="preserve">should be added as roles of the </w:t>
      </w:r>
      <w:r w:rsidRPr="002D05D8">
        <w:rPr>
          <w:i/>
        </w:rPr>
        <w:t>Policy Maker</w:t>
      </w:r>
      <w:r w:rsidRPr="002D05D8">
        <w:t>.</w:t>
      </w:r>
    </w:p>
    <w:p w14:paraId="0360714A" w14:textId="77777777" w:rsidR="00A56C4A" w:rsidRPr="002D05D8" w:rsidRDefault="00A56C4A" w:rsidP="00A56C4A">
      <w:pPr>
        <w:pStyle w:val="ListParagraph"/>
        <w:numPr>
          <w:ilvl w:val="0"/>
          <w:numId w:val="19"/>
        </w:numPr>
        <w:tabs>
          <w:tab w:val="clear" w:pos="1134"/>
        </w:tabs>
        <w:suppressAutoHyphens w:val="0"/>
        <w:spacing w:after="0"/>
        <w:ind w:left="568" w:hanging="284"/>
        <w:contextualSpacing/>
      </w:pPr>
      <w:r w:rsidRPr="002D05D8">
        <w:rPr>
          <w:i/>
        </w:rPr>
        <w:t>Researcher User</w:t>
      </w:r>
      <w:r w:rsidRPr="002D05D8">
        <w:t xml:space="preserve">, </w:t>
      </w:r>
      <w:r w:rsidRPr="002D05D8">
        <w:rPr>
          <w:i/>
        </w:rPr>
        <w:t>Educator User</w:t>
      </w:r>
      <w:r w:rsidRPr="002D05D8">
        <w:t xml:space="preserve">, </w:t>
      </w:r>
      <w:r w:rsidRPr="002D05D8">
        <w:rPr>
          <w:i/>
        </w:rPr>
        <w:t xml:space="preserve">Student User </w:t>
      </w:r>
      <w:r w:rsidRPr="002D05D8">
        <w:t xml:space="preserve">and </w:t>
      </w:r>
      <w:r w:rsidRPr="002D05D8">
        <w:rPr>
          <w:i/>
        </w:rPr>
        <w:t xml:space="preserve">External User </w:t>
      </w:r>
      <w:r w:rsidRPr="002D05D8">
        <w:t xml:space="preserve">should be added as roles of the </w:t>
      </w:r>
      <w:r w:rsidRPr="002D05D8">
        <w:rPr>
          <w:i/>
        </w:rPr>
        <w:t>End User</w:t>
      </w:r>
      <w:r w:rsidRPr="002D05D8">
        <w:t>.  This emphasizes that users can be differentiated based on their relationships to the SDI.</w:t>
      </w:r>
    </w:p>
    <w:p w14:paraId="25E6CA9F" w14:textId="77777777" w:rsidR="00A56C4A" w:rsidRPr="002D05D8" w:rsidRDefault="00A56C4A" w:rsidP="00A56C4A">
      <w:pPr>
        <w:pStyle w:val="ListParagraph"/>
        <w:numPr>
          <w:ilvl w:val="0"/>
          <w:numId w:val="19"/>
        </w:numPr>
        <w:tabs>
          <w:tab w:val="clear" w:pos="1134"/>
        </w:tabs>
        <w:suppressAutoHyphens w:val="0"/>
        <w:spacing w:after="0"/>
        <w:ind w:left="568" w:hanging="284"/>
        <w:contextualSpacing/>
      </w:pPr>
      <w:r w:rsidRPr="002D05D8">
        <w:t xml:space="preserve">A </w:t>
      </w:r>
      <w:r w:rsidRPr="002D05D8">
        <w:rPr>
          <w:i/>
        </w:rPr>
        <w:t xml:space="preserve">Researcher </w:t>
      </w:r>
      <w:r w:rsidRPr="002D05D8">
        <w:t xml:space="preserve">should be added as a role of a </w:t>
      </w:r>
      <w:r w:rsidRPr="002D05D8">
        <w:rPr>
          <w:i/>
        </w:rPr>
        <w:t>VAR</w:t>
      </w:r>
      <w:r w:rsidRPr="002D05D8">
        <w:t>.</w:t>
      </w:r>
    </w:p>
    <w:p w14:paraId="21F80C15" w14:textId="77777777" w:rsidR="00A56C4A" w:rsidRPr="002D05D8" w:rsidRDefault="00A56C4A" w:rsidP="00A56C4A">
      <w:pPr>
        <w:pStyle w:val="ListParagraph"/>
        <w:numPr>
          <w:ilvl w:val="0"/>
          <w:numId w:val="19"/>
        </w:numPr>
        <w:tabs>
          <w:tab w:val="clear" w:pos="1134"/>
        </w:tabs>
        <w:suppressAutoHyphens w:val="0"/>
        <w:spacing w:after="0"/>
        <w:ind w:left="568" w:hanging="284"/>
        <w:contextualSpacing/>
      </w:pPr>
      <w:r w:rsidRPr="002D05D8">
        <w:rPr>
          <w:i/>
        </w:rPr>
        <w:t>Researcher</w:t>
      </w:r>
      <w:r w:rsidRPr="002D05D8">
        <w:t xml:space="preserve">, </w:t>
      </w:r>
      <w:r w:rsidRPr="002D05D8">
        <w:rPr>
          <w:i/>
        </w:rPr>
        <w:t>External Producer</w:t>
      </w:r>
      <w:r w:rsidRPr="002D05D8">
        <w:t xml:space="preserve">, </w:t>
      </w:r>
      <w:r w:rsidRPr="002D05D8">
        <w:rPr>
          <w:i/>
        </w:rPr>
        <w:t xml:space="preserve">Educator </w:t>
      </w:r>
      <w:r w:rsidRPr="002D05D8">
        <w:t xml:space="preserve">and </w:t>
      </w:r>
      <w:r w:rsidRPr="002D05D8">
        <w:rPr>
          <w:i/>
        </w:rPr>
        <w:t xml:space="preserve">Student </w:t>
      </w:r>
      <w:r w:rsidRPr="002D05D8">
        <w:t xml:space="preserve">should be added as roles of the </w:t>
      </w:r>
      <w:r w:rsidRPr="002D05D8">
        <w:rPr>
          <w:i/>
        </w:rPr>
        <w:t>Producer</w:t>
      </w:r>
      <w:r w:rsidRPr="002D05D8">
        <w:t xml:space="preserve">.  Then, </w:t>
      </w:r>
      <w:r w:rsidRPr="002D05D8">
        <w:rPr>
          <w:i/>
        </w:rPr>
        <w:t xml:space="preserve">Class Participant </w:t>
      </w:r>
      <w:r w:rsidRPr="002D05D8">
        <w:t xml:space="preserve">and </w:t>
      </w:r>
      <w:r w:rsidRPr="002D05D8">
        <w:rPr>
          <w:i/>
        </w:rPr>
        <w:t xml:space="preserve">Research Student </w:t>
      </w:r>
      <w:r w:rsidRPr="002D05D8">
        <w:t xml:space="preserve">should be added as roles of the </w:t>
      </w:r>
      <w:proofErr w:type="gramStart"/>
      <w:r w:rsidRPr="002D05D8">
        <w:rPr>
          <w:i/>
        </w:rPr>
        <w:t>Student</w:t>
      </w:r>
      <w:proofErr w:type="gramEnd"/>
      <w:r w:rsidRPr="002D05D8">
        <w:t xml:space="preserve">; and </w:t>
      </w:r>
      <w:r w:rsidRPr="002D05D8">
        <w:rPr>
          <w:i/>
        </w:rPr>
        <w:t xml:space="preserve">Class Lecturer </w:t>
      </w:r>
      <w:r w:rsidRPr="002D05D8">
        <w:t xml:space="preserve">and </w:t>
      </w:r>
      <w:r w:rsidRPr="002D05D8">
        <w:rPr>
          <w:i/>
        </w:rPr>
        <w:t xml:space="preserve">Research Supervisor </w:t>
      </w:r>
      <w:r w:rsidRPr="002D05D8">
        <w:t xml:space="preserve">should be added as roles of the </w:t>
      </w:r>
      <w:r w:rsidRPr="002D05D8">
        <w:rPr>
          <w:i/>
        </w:rPr>
        <w:t>Educator</w:t>
      </w:r>
      <w:r w:rsidRPr="002D05D8">
        <w:t>.</w:t>
      </w:r>
    </w:p>
    <w:p w14:paraId="43F43EB2" w14:textId="77777777" w:rsidR="00A56C4A" w:rsidRPr="002D05D8" w:rsidRDefault="00A56C4A" w:rsidP="00A56C4A">
      <w:pPr>
        <w:pStyle w:val="ListParagraph"/>
        <w:numPr>
          <w:ilvl w:val="0"/>
          <w:numId w:val="20"/>
        </w:numPr>
        <w:tabs>
          <w:tab w:val="clear" w:pos="1134"/>
        </w:tabs>
        <w:suppressAutoHyphens w:val="0"/>
        <w:spacing w:after="0"/>
        <w:ind w:left="568" w:hanging="284"/>
        <w:contextualSpacing/>
      </w:pPr>
      <w:r w:rsidRPr="002D05D8">
        <w:t xml:space="preserve">Adding to the </w:t>
      </w:r>
      <w:r w:rsidRPr="002D05D8">
        <w:rPr>
          <w:i/>
        </w:rPr>
        <w:t xml:space="preserve">Producer </w:t>
      </w:r>
      <w:r w:rsidRPr="002D05D8">
        <w:t xml:space="preserve">an attribute specifying whether or not they produce </w:t>
      </w:r>
      <w:r w:rsidRPr="002D05D8">
        <w:rPr>
          <w:i/>
        </w:rPr>
        <w:t>data</w:t>
      </w:r>
      <w:r w:rsidRPr="002D05D8">
        <w:t xml:space="preserve">, and another for </w:t>
      </w:r>
      <w:proofErr w:type="gramStart"/>
      <w:r w:rsidRPr="002D05D8">
        <w:rPr>
          <w:i/>
        </w:rPr>
        <w:t>services</w:t>
      </w:r>
      <w:r w:rsidRPr="002D05D8">
        <w:t>;</w:t>
      </w:r>
      <w:proofErr w:type="gramEnd"/>
    </w:p>
    <w:p w14:paraId="0C160DEE" w14:textId="77777777" w:rsidR="00A56C4A" w:rsidRPr="002D05D8" w:rsidRDefault="00A56C4A" w:rsidP="00A56C4A">
      <w:pPr>
        <w:pStyle w:val="ListParagraph"/>
        <w:numPr>
          <w:ilvl w:val="0"/>
          <w:numId w:val="20"/>
        </w:numPr>
        <w:tabs>
          <w:tab w:val="clear" w:pos="1134"/>
        </w:tabs>
        <w:suppressAutoHyphens w:val="0"/>
        <w:spacing w:after="0"/>
        <w:ind w:left="568" w:hanging="284"/>
        <w:contextualSpacing/>
      </w:pPr>
      <w:r w:rsidRPr="002D05D8">
        <w:t xml:space="preserve">Also adding to the </w:t>
      </w:r>
      <w:r w:rsidRPr="002D05D8">
        <w:rPr>
          <w:i/>
        </w:rPr>
        <w:t xml:space="preserve">Provider </w:t>
      </w:r>
      <w:r w:rsidRPr="002D05D8">
        <w:t xml:space="preserve">an attribute specifying whether they provide </w:t>
      </w:r>
      <w:r w:rsidRPr="002D05D8">
        <w:rPr>
          <w:i/>
        </w:rPr>
        <w:t>data</w:t>
      </w:r>
      <w:r w:rsidRPr="002D05D8">
        <w:t xml:space="preserve">, and another for </w:t>
      </w:r>
      <w:r w:rsidRPr="002D05D8">
        <w:rPr>
          <w:i/>
        </w:rPr>
        <w:t>services</w:t>
      </w:r>
      <w:r w:rsidRPr="002D05D8">
        <w:t xml:space="preserve">, and a third attribute specifying if the </w:t>
      </w:r>
      <w:r w:rsidRPr="002D05D8">
        <w:rPr>
          <w:i/>
        </w:rPr>
        <w:t xml:space="preserve">Provider </w:t>
      </w:r>
      <w:r w:rsidRPr="002D05D8">
        <w:t>is from a different SDI.</w:t>
      </w:r>
    </w:p>
    <w:p w14:paraId="22D87715" w14:textId="77777777" w:rsidR="00A56C4A" w:rsidRPr="002D05D8" w:rsidRDefault="00A56C4A" w:rsidP="00A56C4A">
      <w:pPr>
        <w:spacing w:after="0"/>
      </w:pPr>
      <w:r w:rsidRPr="002D05D8">
        <w:t xml:space="preserve">In practice for UML modelling, these </w:t>
      </w:r>
      <w:r w:rsidRPr="002D05D8">
        <w:rPr>
          <w:i/>
        </w:rPr>
        <w:t xml:space="preserve">Researcher </w:t>
      </w:r>
      <w:r w:rsidRPr="002D05D8">
        <w:t>roles will need to be separated from one another by adding a prefix or suffix to the name of the role. The Commission also suggested adding attributes to two of the stakeholders:</w:t>
      </w:r>
    </w:p>
    <w:p w14:paraId="5A010E10" w14:textId="77777777" w:rsidR="00A56C4A" w:rsidRDefault="00A56C4A" w:rsidP="00A56C4A">
      <w:pPr>
        <w:pStyle w:val="Heading1"/>
      </w:pPr>
      <w:r>
        <w:t>Issues with the stakeholders</w:t>
      </w:r>
    </w:p>
    <w:p w14:paraId="73666893" w14:textId="75856FB9" w:rsidR="003C07AE" w:rsidRDefault="00A56C4A" w:rsidP="00A56C4A">
      <w:pPr>
        <w:pStyle w:val="Heading2"/>
      </w:pPr>
      <w:r>
        <w:t>Confusion between types of stakeholders</w:t>
      </w:r>
    </w:p>
    <w:p w14:paraId="4C06EFDD" w14:textId="77777777" w:rsidR="008B3781" w:rsidRPr="002D05D8" w:rsidRDefault="008B3781" w:rsidP="008B3781">
      <w:pPr>
        <w:spacing w:after="0"/>
      </w:pPr>
      <w:r w:rsidRPr="002D05D8">
        <w:t xml:space="preserve">All the subtypes or specializations of the SDI stakeholder were given definitions in Cooper </w:t>
      </w:r>
      <w:r w:rsidRPr="002D05D8">
        <w:rPr>
          <w:i/>
          <w:iCs/>
        </w:rPr>
        <w:t>et al</w:t>
      </w:r>
      <w:r w:rsidRPr="002D05D8">
        <w:t xml:space="preserve"> [2011], though later it became clear that some of the types and subtypes were confused with one another.  In particular, the </w:t>
      </w:r>
      <w:r w:rsidRPr="002D05D8">
        <w:rPr>
          <w:i/>
        </w:rPr>
        <w:t xml:space="preserve">Producer </w:t>
      </w:r>
      <w:r w:rsidRPr="002D05D8">
        <w:t xml:space="preserve">was sometimes confused with the </w:t>
      </w:r>
      <w:r w:rsidRPr="002D05D8">
        <w:rPr>
          <w:i/>
        </w:rPr>
        <w:t>Provider</w:t>
      </w:r>
      <w:r w:rsidRPr="002D05D8">
        <w:t xml:space="preserve">, particularly because many Producers are also Providers, and the </w:t>
      </w:r>
      <w:r w:rsidRPr="002D05D8">
        <w:rPr>
          <w:i/>
        </w:rPr>
        <w:t xml:space="preserve">Broker </w:t>
      </w:r>
      <w:r w:rsidRPr="002D05D8">
        <w:t xml:space="preserve">with the </w:t>
      </w:r>
      <w:r w:rsidRPr="002D05D8">
        <w:rPr>
          <w:i/>
        </w:rPr>
        <w:t>Value-added reseller (VAR)</w:t>
      </w:r>
      <w:r w:rsidRPr="002D05D8">
        <w:t xml:space="preserve">, because Brokers are sometimes also VARs.  Perhaps the least understood subtype is the </w:t>
      </w:r>
      <w:r w:rsidRPr="002D05D8">
        <w:rPr>
          <w:i/>
        </w:rPr>
        <w:t>Négociant</w:t>
      </w:r>
      <w:r w:rsidRPr="002D05D8">
        <w:t>, a subtype of Broker.  Further, these definitions probably mixed-up roles and actors and included or presumed the business model of an actor.</w:t>
      </w:r>
    </w:p>
    <w:p w14:paraId="6E459E9F" w14:textId="77777777" w:rsidR="008B3781" w:rsidRPr="002D05D8" w:rsidRDefault="008B3781" w:rsidP="008B3781">
      <w:pPr>
        <w:spacing w:after="0"/>
      </w:pPr>
      <w:r w:rsidRPr="002D05D8">
        <w:t xml:space="preserve">Care must be taken that the stakeholder model does not become too complex, such as by introducing stakeholders, subtypes or roles that are too specific for general </w:t>
      </w:r>
      <w:r w:rsidRPr="002D05D8">
        <w:t>application.  Each needs to have a functionality in an SDI that is unique and well defined.  Further, the stakeholders in an SDI should not be conflated with the natural and legal persons who act as the stakeholders, nor with their business models.</w:t>
      </w:r>
    </w:p>
    <w:p w14:paraId="6DC2E04F" w14:textId="4DD12264" w:rsidR="00F54A82" w:rsidRDefault="008B3781" w:rsidP="008B3781">
      <w:pPr>
        <w:pStyle w:val="Heading2"/>
      </w:pPr>
      <w:r w:rsidRPr="008B3781">
        <w:t>Negative SDI stakeholders</w:t>
      </w:r>
    </w:p>
    <w:p w14:paraId="3081FB5B" w14:textId="77777777" w:rsidR="007B1C34" w:rsidRPr="002D05D8" w:rsidRDefault="007B1C34" w:rsidP="007B1C34">
      <w:pPr>
        <w:spacing w:after="0"/>
      </w:pPr>
      <w:r w:rsidRPr="002D05D8">
        <w:t xml:space="preserve">SDIs do not always succeed: </w:t>
      </w:r>
      <w:proofErr w:type="spellStart"/>
      <w:r w:rsidRPr="002D05D8">
        <w:t>Makanga</w:t>
      </w:r>
      <w:proofErr w:type="spellEnd"/>
      <w:r w:rsidRPr="002D05D8">
        <w:t xml:space="preserve"> &amp; Smit [2008] found that there were two African countries with active SDIs in 2003 and three in 2008, but the two from 2003 were not operating by 2008.  An SDI can also stumble along as a zombie by consuming resources without really delivering anything of value, just unread reports, duplicated spending, scope creep, unused metadata, poor and limited data, etc [Harvey </w:t>
      </w:r>
      <w:r w:rsidRPr="002D05D8">
        <w:rPr>
          <w:i/>
          <w:iCs/>
        </w:rPr>
        <w:t>et al</w:t>
      </w:r>
      <w:r w:rsidRPr="002D05D8">
        <w:t xml:space="preserve"> 2015].</w:t>
      </w:r>
    </w:p>
    <w:p w14:paraId="32C8C158" w14:textId="77777777" w:rsidR="007B1C34" w:rsidRPr="002D05D8" w:rsidRDefault="007B1C34" w:rsidP="007B1C34">
      <w:pPr>
        <w:spacing w:after="0"/>
      </w:pPr>
      <w:r w:rsidRPr="002D05D8">
        <w:t xml:space="preserve">The ICA model assumed that all the stakeholders had positive relationships with the SDI.  As stated by others, “The actors are individuals with an interest in the success of the SDI, and they may use it or contribute to it” [Oliveira </w:t>
      </w:r>
      <w:r w:rsidRPr="002D05D8">
        <w:rPr>
          <w:i/>
          <w:iCs/>
        </w:rPr>
        <w:t>et al</w:t>
      </w:r>
      <w:r w:rsidRPr="002D05D8">
        <w:t xml:space="preserve"> 2017]. This is also implied by the definition of </w:t>
      </w:r>
      <w:r w:rsidRPr="002D05D8">
        <w:rPr>
          <w:i/>
        </w:rPr>
        <w:t>End User</w:t>
      </w:r>
      <w:r w:rsidRPr="002D05D8">
        <w:t xml:space="preserve">: “A stakeholder who uses the SDI for </w:t>
      </w:r>
      <w:r w:rsidRPr="002D05D8">
        <w:rPr>
          <w:i/>
        </w:rPr>
        <w:t xml:space="preserve">its intended purpose </w:t>
      </w:r>
      <w:r w:rsidRPr="002D05D8">
        <w:t xml:space="preserve">[Hjelmager </w:t>
      </w:r>
      <w:r w:rsidRPr="002D05D8">
        <w:rPr>
          <w:i/>
          <w:iCs/>
        </w:rPr>
        <w:t>et al</w:t>
      </w:r>
      <w:r w:rsidRPr="002D05D8">
        <w:t xml:space="preserve"> 2008].</w:t>
      </w:r>
    </w:p>
    <w:p w14:paraId="666E30CC" w14:textId="77777777" w:rsidR="007B1C34" w:rsidRPr="002D05D8" w:rsidRDefault="007B1C34" w:rsidP="007B1C34">
      <w:pPr>
        <w:spacing w:after="0"/>
      </w:pPr>
      <w:r w:rsidRPr="002D05D8">
        <w:t xml:space="preserve">Unfortunately, it became clear that not all stakeholders have benevolent relationships with SDIs, whether the stakeholders be malevolent, or just too idle or incompetent to help the SDI succeed.  In addition to “normal” errors and bias, a stakeholder can prevent an SDI from succeeding, if not deliberately helping it fail, such as by Restricting the use of data (eg: for alleged security reasons); Ignoring the requirements of end users; Having a faulty business model, particularly without adequate and sustained funding; not cooperating; or steering the SDI inappropriately towards promoting any particular political, religious or social agenda [Cooper 2016; Coleman </w:t>
      </w:r>
      <w:r w:rsidRPr="002D05D8">
        <w:rPr>
          <w:i/>
          <w:iCs/>
        </w:rPr>
        <w:t>et al</w:t>
      </w:r>
      <w:r w:rsidRPr="002D05D8">
        <w:t xml:space="preserve"> 2009].</w:t>
      </w:r>
    </w:p>
    <w:p w14:paraId="02652419" w14:textId="77777777" w:rsidR="007B1C34" w:rsidRPr="002D05D8" w:rsidRDefault="007B1C34" w:rsidP="007B1C34">
      <w:pPr>
        <w:spacing w:after="0"/>
      </w:pPr>
      <w:r w:rsidRPr="002D05D8">
        <w:t>Negative stakeholders could be catered for by having a type of multiplier that could be positive, zero or negative that gets applied to the competence or contribution of a stakeholder.  This would also allow the most positive stakeholders to be highlighted.</w:t>
      </w:r>
    </w:p>
    <w:p w14:paraId="7D2691DE" w14:textId="1AAE922C" w:rsidR="007B1C34" w:rsidRPr="002D05D8" w:rsidRDefault="00971379" w:rsidP="007B1C34">
      <w:pPr>
        <w:pStyle w:val="Heading1"/>
      </w:pPr>
      <w:r>
        <w:t>Further</w:t>
      </w:r>
      <w:r w:rsidR="007B1C34" w:rsidRPr="007B1C34">
        <w:t xml:space="preserve"> improvements from the Commission</w:t>
      </w:r>
    </w:p>
    <w:p w14:paraId="4D876DEE" w14:textId="77777777" w:rsidR="006C140F" w:rsidRPr="002D05D8" w:rsidRDefault="006C140F" w:rsidP="006C140F">
      <w:pPr>
        <w:spacing w:after="0"/>
      </w:pPr>
      <w:r w:rsidRPr="002D05D8">
        <w:t xml:space="preserve">Subsequently, the members of the ICA Commission on SDI &amp; Standards have identified further issues, some of which draw on the study by </w:t>
      </w:r>
      <w:proofErr w:type="spellStart"/>
      <w:r w:rsidRPr="002D05D8">
        <w:t>EuroSDR</w:t>
      </w:r>
      <w:proofErr w:type="spellEnd"/>
      <w:r w:rsidRPr="002D05D8">
        <w:t xml:space="preserve"> and OGC [</w:t>
      </w:r>
      <w:proofErr w:type="spellStart"/>
      <w:r w:rsidRPr="002D05D8">
        <w:t>EuroSDR</w:t>
      </w:r>
      <w:proofErr w:type="spellEnd"/>
      <w:r w:rsidRPr="002D05D8">
        <w:t xml:space="preserve"> 2020].  These matters are wide ranging and are not restricted to understanding stakeholders in an SDI, for example big data (though geospatial data were one of the first forms of big data, before the term even existed); dealing with legal and social issues, including ethics, privacy, liability and what authoritative data (though these are tasks for stakeholders); or technologies such as the Internet of Things, cloud computing, data cubes, semantic web, liked open data, ontologies, 3D/4D data, and </w:t>
      </w:r>
      <w:proofErr w:type="spellStart"/>
      <w:r w:rsidRPr="002D05D8">
        <w:t>XaaS</w:t>
      </w:r>
      <w:proofErr w:type="spellEnd"/>
      <w:r w:rsidRPr="002D05D8">
        <w:t xml:space="preserve"> (X as a service).  We have also considered the future of the concept of an SDI and if it will be replaced, such as by a spatial information infrastructure (SII), spatial knowledge infrastructure (SKI) or even a spatial wisdom infrastructure (SWI).  Whatever the future geospatial ecosystem might be, there will be a need for something to </w:t>
      </w:r>
      <w:r w:rsidRPr="002D05D8">
        <w:lastRenderedPageBreak/>
        <w:t xml:space="preserve">bring together the geospatial data, services, stakeholders, technologies, </w:t>
      </w:r>
      <w:proofErr w:type="gramStart"/>
      <w:r w:rsidRPr="002D05D8">
        <w:t>policies</w:t>
      </w:r>
      <w:proofErr w:type="gramEnd"/>
      <w:r w:rsidRPr="002D05D8">
        <w:t xml:space="preserve"> and institutional arrangements, as envisaged by Hjelmager </w:t>
      </w:r>
      <w:r w:rsidRPr="002D05D8">
        <w:rPr>
          <w:i/>
          <w:iCs/>
        </w:rPr>
        <w:t>et al</w:t>
      </w:r>
      <w:r w:rsidRPr="002D05D8">
        <w:t xml:space="preserve"> [2008].  Thus, the ICA Commission’s model of stakeholders in the SDI “replacement” should remain sufficiently robust to cater for all the issues.  The model is also independent of the applications of the SDI.</w:t>
      </w:r>
    </w:p>
    <w:p w14:paraId="5C37EEFD" w14:textId="77777777" w:rsidR="006C140F" w:rsidRPr="002D05D8" w:rsidRDefault="006C140F" w:rsidP="006C140F">
      <w:pPr>
        <w:spacing w:after="0"/>
      </w:pPr>
      <w:r w:rsidRPr="002D05D8">
        <w:t>Artificial intelligence can introduce automated or virtual stakeholders, though it should not be necessary to treat these differently from people or organisations in the SDI stakeholder model.</w:t>
      </w:r>
    </w:p>
    <w:p w14:paraId="50EDA725" w14:textId="245713BF" w:rsidR="00F54A82" w:rsidRDefault="001B401B" w:rsidP="001B401B">
      <w:pPr>
        <w:pStyle w:val="Heading1"/>
      </w:pPr>
      <w:r>
        <w:t>Conclusions</w:t>
      </w:r>
    </w:p>
    <w:p w14:paraId="436280E7" w14:textId="77777777" w:rsidR="001B401B" w:rsidRPr="002D05D8" w:rsidRDefault="001B401B" w:rsidP="001B401B">
      <w:pPr>
        <w:spacing w:after="0"/>
      </w:pPr>
      <w:r w:rsidRPr="002D05D8">
        <w:t xml:space="preserve">We have reviewed here all the literature that has applied the ICA SDI stakeholder model, proposed improvements to the model and/or highlighted parts of the model that are not well understood.  We have also discussed some issues we identified when reviewing the models.  A preliminary version of this paper was presented at the 29th International Cartographic Conference (ICC 2019) in Tokyo, Japan, on 18 July 2019 [Cooper </w:t>
      </w:r>
      <w:r w:rsidRPr="002D05D8">
        <w:rPr>
          <w:i/>
          <w:iCs/>
        </w:rPr>
        <w:t>et al</w:t>
      </w:r>
      <w:r w:rsidRPr="002D05D8">
        <w:t xml:space="preserve"> 2019].</w:t>
      </w:r>
    </w:p>
    <w:p w14:paraId="3445457F" w14:textId="77777777" w:rsidR="001B401B" w:rsidRPr="002D05D8" w:rsidRDefault="001B401B" w:rsidP="001B401B">
      <w:pPr>
        <w:spacing w:after="0"/>
      </w:pPr>
      <w:r w:rsidRPr="002D05D8">
        <w:t>Some of the work described herein was facilitated by funding from the International Cartographic Association (ICA) through the Commission on SDI &amp; Standards, such as for the workshop in Dresden. We would like to acknowledge the contribution of Michel Huet at that workshop.  We would also like to thank our employers for allowing us to participate in this research.</w:t>
      </w:r>
    </w:p>
    <w:p w14:paraId="6087DA9F" w14:textId="0DCD83EA" w:rsidR="001B401B" w:rsidRPr="002D05D8" w:rsidRDefault="001B401B" w:rsidP="001B401B">
      <w:pPr>
        <w:pStyle w:val="Heading1"/>
      </w:pPr>
      <w:r>
        <w:t>References</w:t>
      </w:r>
    </w:p>
    <w:p w14:paraId="2F54843B" w14:textId="77777777" w:rsidR="002F3F93" w:rsidRPr="002D05D8" w:rsidRDefault="002F3F93" w:rsidP="002F3F93">
      <w:pPr>
        <w:spacing w:before="40" w:after="0"/>
        <w:ind w:left="284" w:hanging="284"/>
      </w:pPr>
      <w:proofErr w:type="spellStart"/>
      <w:r w:rsidRPr="002D05D8">
        <w:t>Bejar</w:t>
      </w:r>
      <w:proofErr w:type="spellEnd"/>
      <w:r w:rsidRPr="002D05D8">
        <w:t xml:space="preserve">, R., </w:t>
      </w:r>
      <w:proofErr w:type="spellStart"/>
      <w:r w:rsidRPr="002D05D8">
        <w:t>Latre</w:t>
      </w:r>
      <w:proofErr w:type="spellEnd"/>
      <w:r w:rsidRPr="002D05D8">
        <w:t xml:space="preserve">, M. A., </w:t>
      </w:r>
      <w:proofErr w:type="spellStart"/>
      <w:r w:rsidRPr="002D05D8">
        <w:t>Nogueras</w:t>
      </w:r>
      <w:proofErr w:type="spellEnd"/>
      <w:r w:rsidRPr="002D05D8">
        <w:t xml:space="preserve">-Iso, J., </w:t>
      </w:r>
      <w:proofErr w:type="spellStart"/>
      <w:r w:rsidRPr="002D05D8">
        <w:t>Muro</w:t>
      </w:r>
      <w:proofErr w:type="spellEnd"/>
      <w:r w:rsidRPr="002D05D8">
        <w:t xml:space="preserve">-Medrano, P. R. and </w:t>
      </w:r>
      <w:proofErr w:type="spellStart"/>
      <w:r w:rsidRPr="002D05D8">
        <w:t>Zarazaga</w:t>
      </w:r>
      <w:proofErr w:type="spellEnd"/>
      <w:r w:rsidRPr="002D05D8">
        <w:t xml:space="preserve">-Soria, F. J., 2012. An RM-ODP Enterprise View for Spatial Data Infrastructures. </w:t>
      </w:r>
      <w:r w:rsidRPr="002D05D8">
        <w:rPr>
          <w:i/>
        </w:rPr>
        <w:t xml:space="preserve">Computer Standards &amp; Interfaces </w:t>
      </w:r>
      <w:r w:rsidRPr="002D05D8">
        <w:t>34, pp. 263–272.</w:t>
      </w:r>
    </w:p>
    <w:p w14:paraId="58619251" w14:textId="77777777" w:rsidR="002F3F93" w:rsidRPr="002D05D8" w:rsidRDefault="002F3F93" w:rsidP="002F3F93">
      <w:pPr>
        <w:spacing w:before="40" w:after="0"/>
        <w:ind w:left="284" w:hanging="284"/>
      </w:pPr>
      <w:r w:rsidRPr="002D05D8">
        <w:t xml:space="preserve">Box, P., 2013. The governance of spatial data infrastructure: A </w:t>
      </w:r>
      <w:proofErr w:type="gramStart"/>
      <w:r w:rsidRPr="002D05D8">
        <w:t>registry based</w:t>
      </w:r>
      <w:proofErr w:type="gramEnd"/>
      <w:r w:rsidRPr="002D05D8">
        <w:t xml:space="preserve"> model. Master’s thesis, The University of Melbourne, Australia.</w:t>
      </w:r>
    </w:p>
    <w:p w14:paraId="177AE2AC" w14:textId="77777777" w:rsidR="002F3F93" w:rsidRPr="002D05D8" w:rsidRDefault="002F3F93" w:rsidP="002F3F93">
      <w:pPr>
        <w:spacing w:before="40" w:after="0"/>
        <w:ind w:left="284" w:hanging="284"/>
      </w:pPr>
      <w:r w:rsidRPr="002D05D8">
        <w:t xml:space="preserve">Coetzee, S., Steiniger, S., </w:t>
      </w:r>
      <w:proofErr w:type="spellStart"/>
      <w:r w:rsidRPr="002D05D8">
        <w:t>Kobben</w:t>
      </w:r>
      <w:proofErr w:type="spellEnd"/>
      <w:r w:rsidRPr="002D05D8">
        <w:t xml:space="preserve">, B., Iwaniak, A., Kaczmarek, I., Rapant, P., Cooper, A. K., Behr, F.-J., </w:t>
      </w:r>
      <w:proofErr w:type="spellStart"/>
      <w:r w:rsidRPr="002D05D8">
        <w:t>Schoof</w:t>
      </w:r>
      <w:proofErr w:type="spellEnd"/>
      <w:r w:rsidRPr="002D05D8">
        <w:t xml:space="preserve">, G., Katumba, S., </w:t>
      </w:r>
      <w:proofErr w:type="spellStart"/>
      <w:r w:rsidRPr="002D05D8">
        <w:t>Vatseva</w:t>
      </w:r>
      <w:proofErr w:type="spellEnd"/>
      <w:r w:rsidRPr="002D05D8">
        <w:t xml:space="preserve">, R., </w:t>
      </w:r>
      <w:proofErr w:type="spellStart"/>
      <w:r w:rsidRPr="002D05D8">
        <w:t>Sinvula</w:t>
      </w:r>
      <w:proofErr w:type="spellEnd"/>
      <w:r w:rsidRPr="002D05D8">
        <w:t xml:space="preserve">, K. and Moellering, H., 2017. Understanding stakeholders of a spatial data infrastructure for universities and research institutes. In: </w:t>
      </w:r>
      <w:r w:rsidRPr="002D05D8">
        <w:rPr>
          <w:i/>
        </w:rPr>
        <w:t xml:space="preserve">Advances in Cartography and </w:t>
      </w:r>
      <w:proofErr w:type="spellStart"/>
      <w:r w:rsidRPr="002D05D8">
        <w:rPr>
          <w:i/>
        </w:rPr>
        <w:t>GIScience</w:t>
      </w:r>
      <w:proofErr w:type="spellEnd"/>
      <w:r w:rsidRPr="002D05D8">
        <w:rPr>
          <w:i/>
        </w:rPr>
        <w:t>: Selections from the International Cartographic Conference 2017</w:t>
      </w:r>
      <w:r w:rsidRPr="002D05D8">
        <w:t>, Washington DC, USA, pp. 99–113.</w:t>
      </w:r>
    </w:p>
    <w:p w14:paraId="60568E7E" w14:textId="77777777" w:rsidR="002F3F93" w:rsidRPr="002D05D8" w:rsidRDefault="002F3F93" w:rsidP="002F3F93">
      <w:pPr>
        <w:spacing w:before="40" w:after="0"/>
        <w:ind w:left="284" w:hanging="284"/>
      </w:pPr>
      <w:r w:rsidRPr="002D05D8">
        <w:t xml:space="preserve">Coleman, D. J., </w:t>
      </w:r>
      <w:proofErr w:type="spellStart"/>
      <w:r w:rsidRPr="002D05D8">
        <w:t>Georgiadou</w:t>
      </w:r>
      <w:proofErr w:type="spellEnd"/>
      <w:r w:rsidRPr="002D05D8">
        <w:t xml:space="preserve">, Y. and </w:t>
      </w:r>
      <w:proofErr w:type="spellStart"/>
      <w:r w:rsidRPr="002D05D8">
        <w:t>Labonte</w:t>
      </w:r>
      <w:proofErr w:type="spellEnd"/>
      <w:r w:rsidRPr="002D05D8">
        <w:t xml:space="preserve">, J., 2009. Volunteered geographic information: The nature and motivation of </w:t>
      </w:r>
      <w:proofErr w:type="spellStart"/>
      <w:r w:rsidRPr="002D05D8">
        <w:t>produsers</w:t>
      </w:r>
      <w:proofErr w:type="spellEnd"/>
      <w:r w:rsidRPr="002D05D8">
        <w:t xml:space="preserve">. </w:t>
      </w:r>
      <w:r w:rsidRPr="002D05D8">
        <w:rPr>
          <w:i/>
        </w:rPr>
        <w:t xml:space="preserve">International Journal of Spatial Data Infrastructures Research, Special Issue on GSDI-11 </w:t>
      </w:r>
      <w:r w:rsidRPr="002D05D8">
        <w:t>4, pp. 332–358.</w:t>
      </w:r>
    </w:p>
    <w:p w14:paraId="73A5567B" w14:textId="77777777" w:rsidR="002F3F93" w:rsidRPr="002D05D8" w:rsidRDefault="002F3F93" w:rsidP="002F3F93">
      <w:pPr>
        <w:spacing w:before="40" w:after="0"/>
        <w:ind w:left="284" w:hanging="284"/>
      </w:pPr>
      <w:r w:rsidRPr="002D05D8">
        <w:t>Cooper, A. K., 2016. An exposition of the nature of volunteered geographical information and its suitability for integration into spatial data infrastructures. PhD thesis, University of Pretoria, South Africa.</w:t>
      </w:r>
    </w:p>
    <w:p w14:paraId="24E66D1D" w14:textId="77777777" w:rsidR="002F3F93" w:rsidRPr="002D05D8" w:rsidRDefault="002F3F93" w:rsidP="002F3F93">
      <w:pPr>
        <w:spacing w:before="40" w:after="0"/>
        <w:ind w:left="284" w:hanging="284"/>
      </w:pPr>
      <w:r w:rsidRPr="002D05D8">
        <w:t xml:space="preserve">Cooper, A. K., Coetzee, S., Rapant, P., Iwaniak, A., Hjelmager, J., Moellering, H., Huet, M. and </w:t>
      </w:r>
      <w:proofErr w:type="spellStart"/>
      <w:r w:rsidRPr="002D05D8">
        <w:t>Sinvula</w:t>
      </w:r>
      <w:proofErr w:type="spellEnd"/>
      <w:r w:rsidRPr="002D05D8">
        <w:t xml:space="preserve">, K., 2019. Expanding the ICA model of stakeholders in a spatial data infrastructure (SDI). In: </w:t>
      </w:r>
      <w:r w:rsidRPr="002D05D8">
        <w:rPr>
          <w:i/>
        </w:rPr>
        <w:t xml:space="preserve">29th </w:t>
      </w:r>
      <w:r w:rsidRPr="002D05D8">
        <w:rPr>
          <w:i/>
        </w:rPr>
        <w:t>International Cartographic Conference (ICC 2019)</w:t>
      </w:r>
      <w:r w:rsidRPr="002D05D8">
        <w:t>, Abstracts of the International Cartographic Association (ICA), Vol. 1, Tokyo, Japan.</w:t>
      </w:r>
    </w:p>
    <w:p w14:paraId="36F4B8B8" w14:textId="77777777" w:rsidR="002F3F93" w:rsidRPr="002D05D8" w:rsidRDefault="002F3F93" w:rsidP="002F3F93">
      <w:pPr>
        <w:spacing w:before="40" w:after="0"/>
        <w:ind w:left="284" w:hanging="284"/>
      </w:pPr>
      <w:r w:rsidRPr="002D05D8">
        <w:t xml:space="preserve">Cooper, A. K., Coetzee, S., Rapant, P., Laurent, D., Danko, D. M., Iwaniak, A., Peled, A., Moellering, H. and Duren, U., 2013. Exploring the impact of a spatial data infrastructure on value-added resellers and vice versa. In: </w:t>
      </w:r>
      <w:r w:rsidRPr="002D05D8">
        <w:rPr>
          <w:i/>
        </w:rPr>
        <w:t>26th International Cartographic Conference (ICC 2013)</w:t>
      </w:r>
      <w:r w:rsidRPr="002D05D8">
        <w:t>, Dresden, Germany, pp. 395–406.</w:t>
      </w:r>
    </w:p>
    <w:p w14:paraId="655F33BF" w14:textId="77777777" w:rsidR="002F3F93" w:rsidRPr="002D05D8" w:rsidRDefault="002F3F93" w:rsidP="002F3F93">
      <w:pPr>
        <w:spacing w:before="40" w:after="0"/>
        <w:ind w:left="284" w:hanging="284"/>
      </w:pPr>
      <w:r w:rsidRPr="002D05D8">
        <w:t xml:space="preserve">Cooper, A. K., Moellering, H., Hjelmager, J., Rapant, P., Delgado, T., Laurent, D., Coetzee, S., Danko, D. M., Duren, U., Iwaniak, A., Brodeur, J., Abad, P., Huet, M. and Rajabifard, A., 2012. A spatial data infrastructure model from the computational viewpoint. </w:t>
      </w:r>
      <w:r w:rsidRPr="002D05D8">
        <w:rPr>
          <w:i/>
        </w:rPr>
        <w:t xml:space="preserve">International Journal of Geographical Information Science </w:t>
      </w:r>
      <w:r w:rsidRPr="002D05D8">
        <w:t>27(6), pp. 1133– 1151.</w:t>
      </w:r>
    </w:p>
    <w:p w14:paraId="10511C7A" w14:textId="0A015E05" w:rsidR="002F3F93" w:rsidRPr="002D05D8" w:rsidRDefault="002F3F93" w:rsidP="002F3F93">
      <w:pPr>
        <w:spacing w:before="40" w:after="0"/>
        <w:ind w:left="284" w:hanging="284"/>
      </w:pPr>
      <w:r w:rsidRPr="002D05D8">
        <w:t xml:space="preserve">Cooper, A. K., Rapant, P., Hjelmager, J., Laurent, D., Iwaniak, A., Coetzee, S., Moellering, H. and Duren, U., 2011. Extending the formal model of a spatial data infrastructure to include volunteered geographical information. In: </w:t>
      </w:r>
      <w:r w:rsidRPr="002D05D8">
        <w:rPr>
          <w:i/>
        </w:rPr>
        <w:t>25th International Cartographic Conference (ICC 2011)</w:t>
      </w:r>
      <w:r w:rsidRPr="002D05D8">
        <w:t>, Paris, France.</w:t>
      </w:r>
    </w:p>
    <w:p w14:paraId="20BCC053" w14:textId="77777777" w:rsidR="002F3F93" w:rsidRPr="002D05D8" w:rsidRDefault="002F3F93" w:rsidP="002F3F93">
      <w:pPr>
        <w:spacing w:before="40" w:after="0"/>
        <w:ind w:left="284" w:hanging="284"/>
      </w:pPr>
      <w:proofErr w:type="spellStart"/>
      <w:r w:rsidRPr="002D05D8">
        <w:t>EuroSDR</w:t>
      </w:r>
      <w:proofErr w:type="spellEnd"/>
      <w:r w:rsidRPr="002D05D8">
        <w:t xml:space="preserve">, 2020. Future research topics on Spatial Data Infrastructure. </w:t>
      </w:r>
      <w:proofErr w:type="spellStart"/>
      <w:r w:rsidRPr="002D05D8">
        <w:t>EuroSDR</w:t>
      </w:r>
      <w:proofErr w:type="spellEnd"/>
      <w:r w:rsidRPr="002D05D8">
        <w:t xml:space="preserve"> Project Report. Accessed 21 April 2020 at: EuroSDR.http://www.eurosdr.net/research/project/future-research-topics-spatial-data-infrastructure</w:t>
      </w:r>
    </w:p>
    <w:p w14:paraId="62113915" w14:textId="77777777" w:rsidR="002F3F93" w:rsidRPr="002D05D8" w:rsidRDefault="002F3F93" w:rsidP="002F3F93">
      <w:pPr>
        <w:spacing w:before="40" w:after="0"/>
        <w:ind w:left="284" w:hanging="284"/>
      </w:pPr>
      <w:r w:rsidRPr="002D05D8">
        <w:t xml:space="preserve">Harvey, F., Coetzee, S., Cooper, A. K. and Iwaniak, A., 2015. Are the data sharing problems with SDIs problems of zombies? In: (Robbi </w:t>
      </w:r>
      <w:proofErr w:type="spellStart"/>
      <w:r w:rsidRPr="002D05D8">
        <w:t>Sluter</w:t>
      </w:r>
      <w:proofErr w:type="spellEnd"/>
      <w:r w:rsidRPr="002D05D8">
        <w:t xml:space="preserve"> et al., 2015).</w:t>
      </w:r>
    </w:p>
    <w:p w14:paraId="49C7BC43" w14:textId="77777777" w:rsidR="002F3F93" w:rsidRPr="002D05D8" w:rsidRDefault="002F3F93" w:rsidP="002F3F93">
      <w:pPr>
        <w:spacing w:before="40" w:after="0"/>
        <w:ind w:left="284" w:hanging="284"/>
      </w:pPr>
      <w:r w:rsidRPr="002D05D8">
        <w:t xml:space="preserve">Hjelmager, J., Moellering, H., Delgado, T., Cooper, A. K., Rajabifard, A., Rapant, P., Danko, D., Huet, M., Laurent, D., Aalders, H. J. G. L., Iwaniak, A., Abad, P., </w:t>
      </w:r>
      <w:proofErr w:type="gramStart"/>
      <w:r w:rsidRPr="002D05D8">
        <w:t>Duren,¨</w:t>
      </w:r>
      <w:proofErr w:type="gramEnd"/>
      <w:r w:rsidRPr="002D05D8">
        <w:t xml:space="preserve"> U. and Martynenko, A., 2008. An initial formal model for spatial data infrastructures. </w:t>
      </w:r>
      <w:r w:rsidRPr="002D05D8">
        <w:rPr>
          <w:i/>
        </w:rPr>
        <w:t xml:space="preserve">International Journal of Geographical Information Science </w:t>
      </w:r>
      <w:r w:rsidRPr="002D05D8">
        <w:t>22(11), pp. 1295–1309.</w:t>
      </w:r>
    </w:p>
    <w:p w14:paraId="0E8E23D2" w14:textId="77777777" w:rsidR="002F3F93" w:rsidRPr="002D05D8" w:rsidRDefault="002F3F93" w:rsidP="002F3F93">
      <w:pPr>
        <w:spacing w:before="40" w:after="0"/>
        <w:ind w:left="284" w:hanging="284"/>
      </w:pPr>
      <w:r w:rsidRPr="002D05D8">
        <w:t xml:space="preserve">ISO, 1998. </w:t>
      </w:r>
      <w:r w:rsidRPr="002D05D8">
        <w:rPr>
          <w:i/>
        </w:rPr>
        <w:t>ISO/IEC 10746-1:1998, Information technology — Open Distributed Processing — Reference Model: Overview</w:t>
      </w:r>
      <w:r w:rsidRPr="002D05D8">
        <w:t>. International Organization for Standardization (ISO), Geneva, Switzerland.</w:t>
      </w:r>
    </w:p>
    <w:p w14:paraId="7E00DBB8" w14:textId="77777777" w:rsidR="002F3F93" w:rsidRPr="002D05D8" w:rsidRDefault="002F3F93" w:rsidP="002F3F93">
      <w:pPr>
        <w:spacing w:before="40" w:after="0"/>
        <w:ind w:left="284" w:hanging="284"/>
      </w:pPr>
      <w:r w:rsidRPr="002D05D8">
        <w:t xml:space="preserve">ISO, 2005. </w:t>
      </w:r>
      <w:r w:rsidRPr="002D05D8">
        <w:rPr>
          <w:i/>
        </w:rPr>
        <w:t xml:space="preserve">ISO/IEC 19501:2005, Information technology — Open Distributed Processing — Unified </w:t>
      </w:r>
      <w:proofErr w:type="spellStart"/>
      <w:r w:rsidRPr="002D05D8">
        <w:rPr>
          <w:i/>
        </w:rPr>
        <w:t>Modeling</w:t>
      </w:r>
      <w:proofErr w:type="spellEnd"/>
      <w:r w:rsidRPr="002D05D8">
        <w:rPr>
          <w:i/>
        </w:rPr>
        <w:t xml:space="preserve"> Language (UML) Version 1.4.2</w:t>
      </w:r>
      <w:r w:rsidRPr="002D05D8">
        <w:t>. International Organization for Standardization (ISO), Geneva, Switzerland.</w:t>
      </w:r>
    </w:p>
    <w:p w14:paraId="72526B0A" w14:textId="77777777" w:rsidR="002F3F93" w:rsidRPr="002D05D8" w:rsidRDefault="002F3F93" w:rsidP="002F3F93">
      <w:pPr>
        <w:spacing w:before="40" w:after="0"/>
        <w:ind w:left="284" w:hanging="284"/>
      </w:pPr>
      <w:proofErr w:type="spellStart"/>
      <w:r w:rsidRPr="002D05D8">
        <w:t>Makanga</w:t>
      </w:r>
      <w:proofErr w:type="spellEnd"/>
      <w:r w:rsidRPr="002D05D8">
        <w:t xml:space="preserve">, P. and Smit, J., 2008. A review of the status of spatial data infrastructure implementation in Africa. In: S. Coetzee, A. K. Cooper, I. </w:t>
      </w:r>
      <w:proofErr w:type="spellStart"/>
      <w:r w:rsidRPr="002D05D8">
        <w:t>Netterberg</w:t>
      </w:r>
      <w:proofErr w:type="spellEnd"/>
      <w:r w:rsidRPr="002D05D8">
        <w:t xml:space="preserve"> and G. Fleming (eds), </w:t>
      </w:r>
      <w:r w:rsidRPr="002D05D8">
        <w:rPr>
          <w:i/>
        </w:rPr>
        <w:t xml:space="preserve">Academic track of the 2008 Free and </w:t>
      </w:r>
      <w:proofErr w:type="gramStart"/>
      <w:r w:rsidRPr="002D05D8">
        <w:rPr>
          <w:i/>
        </w:rPr>
        <w:t>Open Source</w:t>
      </w:r>
      <w:proofErr w:type="gramEnd"/>
      <w:r w:rsidRPr="002D05D8">
        <w:rPr>
          <w:i/>
        </w:rPr>
        <w:t xml:space="preserve"> Software for Geospatial (FOSS4G) Conference, incorporating the GISSA 2008 Conference</w:t>
      </w:r>
      <w:r w:rsidRPr="002D05D8">
        <w:t>, Cape Town, South Africa.</w:t>
      </w:r>
    </w:p>
    <w:p w14:paraId="5EE1565E" w14:textId="77777777" w:rsidR="002F3F93" w:rsidRPr="002D05D8" w:rsidRDefault="002F3F93" w:rsidP="002F3F93">
      <w:pPr>
        <w:spacing w:before="40" w:after="0"/>
        <w:ind w:left="284" w:hanging="284"/>
      </w:pPr>
      <w:proofErr w:type="spellStart"/>
      <w:r w:rsidRPr="002D05D8">
        <w:t>Nebert</w:t>
      </w:r>
      <w:proofErr w:type="spellEnd"/>
      <w:r w:rsidRPr="002D05D8">
        <w:t>, D. D., 2004. Developing spatial data infrastructures: The SDI Cookbook. Version 2. Technical report, Global Spatial Data Infrastructure Association (GSDI).</w:t>
      </w:r>
    </w:p>
    <w:p w14:paraId="05BB4F1C" w14:textId="77777777" w:rsidR="002F3F93" w:rsidRPr="002D05D8" w:rsidRDefault="002F3F93" w:rsidP="002F3F93">
      <w:pPr>
        <w:spacing w:before="40" w:after="0"/>
        <w:ind w:left="284" w:hanging="284"/>
      </w:pPr>
      <w:r w:rsidRPr="002D05D8">
        <w:lastRenderedPageBreak/>
        <w:t xml:space="preserve">Oliveira, I. L., Camara, J. H., Torres, R. M. and </w:t>
      </w:r>
      <w:proofErr w:type="spellStart"/>
      <w:r w:rsidRPr="002D05D8">
        <w:t>Lisboa</w:t>
      </w:r>
      <w:proofErr w:type="spellEnd"/>
      <w:r w:rsidRPr="002D05D8">
        <w:t xml:space="preserve">-Filho, J., 2017. Design of a corporate SDI in power sector using a formal model. </w:t>
      </w:r>
      <w:r w:rsidRPr="002D05D8">
        <w:rPr>
          <w:i/>
        </w:rPr>
        <w:t xml:space="preserve">Infrastructures </w:t>
      </w:r>
      <w:r w:rsidRPr="002D05D8">
        <w:t>2(4), pp. 25.</w:t>
      </w:r>
    </w:p>
    <w:p w14:paraId="7DD69B6B" w14:textId="77777777" w:rsidR="002F3F93" w:rsidRPr="002D05D8" w:rsidRDefault="002F3F93" w:rsidP="002F3F93">
      <w:pPr>
        <w:spacing w:before="40" w:after="0"/>
        <w:ind w:left="284" w:hanging="284"/>
      </w:pPr>
      <w:r w:rsidRPr="002D05D8">
        <w:t xml:space="preserve">Oliveira, I. L. and </w:t>
      </w:r>
      <w:proofErr w:type="spellStart"/>
      <w:r w:rsidRPr="002D05D8">
        <w:t>Lisboa</w:t>
      </w:r>
      <w:proofErr w:type="spellEnd"/>
      <w:r w:rsidRPr="002D05D8">
        <w:t>-Filho, J., 2015. A spatial data infrastructure review — sorting the actors and policies from enterprise viewpoint. In: 17th International Conference on Enterprise Information Systems (ICEIS 2015), Barcelona, Spain, pp. 287–294.</w:t>
      </w:r>
    </w:p>
    <w:p w14:paraId="2D154531" w14:textId="77777777" w:rsidR="002F3F93" w:rsidRPr="002D05D8" w:rsidRDefault="002F3F93" w:rsidP="002F3F93">
      <w:pPr>
        <w:spacing w:before="40" w:after="0"/>
        <w:ind w:left="284" w:hanging="284"/>
      </w:pPr>
      <w:r w:rsidRPr="002D05D8">
        <w:t xml:space="preserve">Oliveira, I. L., </w:t>
      </w:r>
      <w:proofErr w:type="spellStart"/>
      <w:r w:rsidRPr="002D05D8">
        <w:t>Lisboa</w:t>
      </w:r>
      <w:proofErr w:type="spellEnd"/>
      <w:r w:rsidRPr="002D05D8">
        <w:t xml:space="preserve">-Filho, J., Moura, C. A. and da Silva, A. G., 2016a. </w:t>
      </w:r>
      <w:proofErr w:type="spellStart"/>
      <w:r w:rsidRPr="002D05D8">
        <w:t>Especifying</w:t>
      </w:r>
      <w:proofErr w:type="spellEnd"/>
      <w:r w:rsidRPr="002D05D8">
        <w:t xml:space="preserve"> the enterprise and information viewpoints for a corporate spatial data infrastructure using ICA’s formal model. In: </w:t>
      </w:r>
      <w:r w:rsidRPr="002D05D8">
        <w:rPr>
          <w:i/>
        </w:rPr>
        <w:t>18th International Conference on Enterprise Information Systems (ICEIS 2016)</w:t>
      </w:r>
      <w:r w:rsidRPr="002D05D8">
        <w:t>, Rome, Italy, pp. 271–282.</w:t>
      </w:r>
    </w:p>
    <w:p w14:paraId="240C433E" w14:textId="77777777" w:rsidR="002F3F93" w:rsidRPr="002D05D8" w:rsidRDefault="002F3F93" w:rsidP="002F3F93">
      <w:pPr>
        <w:spacing w:before="40" w:after="0"/>
        <w:ind w:left="284" w:hanging="284"/>
      </w:pPr>
      <w:r w:rsidRPr="002D05D8">
        <w:t xml:space="preserve">Oliveira, I. L., </w:t>
      </w:r>
      <w:proofErr w:type="spellStart"/>
      <w:r w:rsidRPr="002D05D8">
        <w:t>Lisboa</w:t>
      </w:r>
      <w:proofErr w:type="spellEnd"/>
      <w:r w:rsidRPr="002D05D8">
        <w:t xml:space="preserve">-Filho, J., Moura, C. A. and da Silva, A. G., 2016b. Specifying the computation viewpoints for a corporate spatial data infrastructure using ICA’s formal model. In: </w:t>
      </w:r>
      <w:r w:rsidRPr="002D05D8">
        <w:rPr>
          <w:i/>
        </w:rPr>
        <w:t>16th International Conference on Computational Science and Its Applications (ICCSA 2016)</w:t>
      </w:r>
      <w:r w:rsidRPr="002D05D8">
        <w:t>, Beijing, China, pp. 275–289.</w:t>
      </w:r>
    </w:p>
    <w:p w14:paraId="0F3742C5" w14:textId="77777777" w:rsidR="002F3F93" w:rsidRPr="002D05D8" w:rsidRDefault="002F3F93" w:rsidP="002F3F93">
      <w:pPr>
        <w:spacing w:before="40" w:after="0"/>
        <w:ind w:left="284" w:hanging="284"/>
      </w:pPr>
      <w:r w:rsidRPr="002D05D8">
        <w:t xml:space="preserve">Owusu-Banahene, W., Mensah, F., Coetzee, S., Cooper, A. K., Rautenbach, V., </w:t>
      </w:r>
      <w:proofErr w:type="spellStart"/>
      <w:r w:rsidRPr="002D05D8">
        <w:t>Sinvula</w:t>
      </w:r>
      <w:proofErr w:type="spellEnd"/>
      <w:r w:rsidRPr="002D05D8">
        <w:t xml:space="preserve">, K. M., </w:t>
      </w:r>
      <w:proofErr w:type="spellStart"/>
      <w:r w:rsidRPr="002D05D8">
        <w:t>Nangolo</w:t>
      </w:r>
      <w:proofErr w:type="spellEnd"/>
      <w:r w:rsidRPr="002D05D8">
        <w:t xml:space="preserve">, E. and </w:t>
      </w:r>
      <w:proofErr w:type="spellStart"/>
      <w:r w:rsidRPr="002D05D8">
        <w:t>Hippondoka</w:t>
      </w:r>
      <w:proofErr w:type="spellEnd"/>
      <w:r w:rsidRPr="002D05D8">
        <w:t xml:space="preserve">, M., 2013. A description of spatial data infrastructure stakeholders in Ghana using the ICA model. In: H. </w:t>
      </w:r>
      <w:proofErr w:type="spellStart"/>
      <w:r w:rsidRPr="002D05D8">
        <w:t>Onsrud</w:t>
      </w:r>
      <w:proofErr w:type="spellEnd"/>
      <w:r w:rsidRPr="002D05D8">
        <w:t xml:space="preserve"> and A. Rajabifard (eds), </w:t>
      </w:r>
      <w:r w:rsidRPr="002D05D8">
        <w:rPr>
          <w:i/>
        </w:rPr>
        <w:t>Spatial Enablement in Support of Economic Development and Poverty Reduction: Research, Development and Education Perspectives</w:t>
      </w:r>
      <w:r w:rsidRPr="002D05D8">
        <w:t xml:space="preserve">, GSDI </w:t>
      </w:r>
      <w:proofErr w:type="spellStart"/>
      <w:r w:rsidRPr="002D05D8">
        <w:t>Asociation</w:t>
      </w:r>
      <w:proofErr w:type="spellEnd"/>
      <w:r w:rsidRPr="002D05D8">
        <w:t xml:space="preserve"> Press, pp. 63–84.</w:t>
      </w:r>
    </w:p>
    <w:p w14:paraId="56092A6D" w14:textId="77777777" w:rsidR="002F3F93" w:rsidRPr="002D05D8" w:rsidRDefault="002F3F93" w:rsidP="002F3F93">
      <w:pPr>
        <w:spacing w:before="40" w:after="0"/>
        <w:ind w:left="284" w:hanging="284"/>
      </w:pPr>
      <w:r w:rsidRPr="002D05D8">
        <w:t xml:space="preserve">Robbi </w:t>
      </w:r>
      <w:proofErr w:type="spellStart"/>
      <w:r w:rsidRPr="002D05D8">
        <w:t>Sluter</w:t>
      </w:r>
      <w:proofErr w:type="spellEnd"/>
      <w:r w:rsidRPr="002D05D8">
        <w:t xml:space="preserve">, C., </w:t>
      </w:r>
      <w:proofErr w:type="spellStart"/>
      <w:r w:rsidRPr="002D05D8">
        <w:t>Madureira</w:t>
      </w:r>
      <w:proofErr w:type="spellEnd"/>
      <w:r w:rsidRPr="002D05D8">
        <w:t xml:space="preserve"> Cruz, C. B., </w:t>
      </w:r>
      <w:proofErr w:type="spellStart"/>
      <w:r w:rsidRPr="002D05D8">
        <w:t>Camboim</w:t>
      </w:r>
      <w:proofErr w:type="spellEnd"/>
      <w:r w:rsidRPr="002D05D8">
        <w:t xml:space="preserve">, S. P., </w:t>
      </w:r>
      <w:proofErr w:type="spellStart"/>
      <w:r w:rsidRPr="002D05D8">
        <w:t>Delazari</w:t>
      </w:r>
      <w:proofErr w:type="spellEnd"/>
      <w:r w:rsidRPr="002D05D8">
        <w:t xml:space="preserve">, L. S., do Couto Fernandes, M., Silva de Barros, R., </w:t>
      </w:r>
      <w:proofErr w:type="spellStart"/>
      <w:r w:rsidRPr="002D05D8">
        <w:t>Firkowski</w:t>
      </w:r>
      <w:proofErr w:type="spellEnd"/>
      <w:r w:rsidRPr="002D05D8">
        <w:t>, H. and Leal de Menezes, P. M. (eds), 2015. 27th International Cartographic Conference (ICC 2015). Rio de Janeiro, Brazil.</w:t>
      </w:r>
    </w:p>
    <w:p w14:paraId="05FFA853" w14:textId="77777777" w:rsidR="002F3F93" w:rsidRPr="002D05D8" w:rsidRDefault="002F3F93" w:rsidP="002F3F93">
      <w:pPr>
        <w:spacing w:before="40" w:after="0"/>
        <w:ind w:left="284" w:hanging="284"/>
      </w:pPr>
      <w:r w:rsidRPr="002D05D8">
        <w:t xml:space="preserve">Silva, J.P., </w:t>
      </w:r>
      <w:proofErr w:type="spellStart"/>
      <w:r w:rsidRPr="002D05D8">
        <w:t>Camboim</w:t>
      </w:r>
      <w:proofErr w:type="spellEnd"/>
      <w:r w:rsidRPr="002D05D8">
        <w:t xml:space="preserve"> S.P. &amp; Paula, E.V., 2022. Characterisation of stakeholders' roles in a thematic SDI: a study on the environmental SDI of NGI - </w:t>
      </w:r>
      <w:proofErr w:type="spellStart"/>
      <w:r w:rsidRPr="002D05D8">
        <w:t>ICMBio</w:t>
      </w:r>
      <w:proofErr w:type="spellEnd"/>
      <w:r w:rsidRPr="002D05D8">
        <w:t xml:space="preserve"> Antonina - </w:t>
      </w:r>
      <w:proofErr w:type="spellStart"/>
      <w:r w:rsidRPr="002D05D8">
        <w:t>Guaraqueçaba</w:t>
      </w:r>
      <w:proofErr w:type="spellEnd"/>
      <w:r w:rsidRPr="002D05D8">
        <w:t xml:space="preserve"> - PR. Bulletin of Geodetic Sciences. 28(4</w:t>
      </w:r>
      <w:proofErr w:type="gramStart"/>
      <w:r w:rsidRPr="002D05D8">
        <w:t>):e</w:t>
      </w:r>
      <w:proofErr w:type="gramEnd"/>
      <w:r w:rsidRPr="002D05D8">
        <w:t>2022022.</w:t>
      </w:r>
    </w:p>
    <w:p w14:paraId="3BE91BD2" w14:textId="77777777" w:rsidR="002F3F93" w:rsidRPr="002D05D8" w:rsidRDefault="002F3F93" w:rsidP="002F3F93">
      <w:pPr>
        <w:spacing w:before="40" w:after="0"/>
        <w:ind w:left="284" w:hanging="284"/>
      </w:pPr>
      <w:proofErr w:type="spellStart"/>
      <w:r w:rsidRPr="002D05D8">
        <w:t>Sinvula</w:t>
      </w:r>
      <w:proofErr w:type="spellEnd"/>
      <w:r w:rsidRPr="002D05D8">
        <w:t xml:space="preserve">, K., Coetzee, S., Cooper, A., Owusu-Banahene, W., </w:t>
      </w:r>
      <w:proofErr w:type="spellStart"/>
      <w:r w:rsidRPr="002D05D8">
        <w:t>Nangolo</w:t>
      </w:r>
      <w:proofErr w:type="spellEnd"/>
      <w:r w:rsidRPr="002D05D8">
        <w:t xml:space="preserve">, E., Rautenbach, V. and </w:t>
      </w:r>
      <w:proofErr w:type="spellStart"/>
      <w:r w:rsidRPr="002D05D8">
        <w:t>Hipondoka</w:t>
      </w:r>
      <w:proofErr w:type="spellEnd"/>
      <w:r w:rsidRPr="002D05D8">
        <w:t xml:space="preserve">, M., 2017. A comparative analysis of stakeholder roles in the spatial data infrastructures of South Africa, </w:t>
      </w:r>
      <w:proofErr w:type="gramStart"/>
      <w:r w:rsidRPr="002D05D8">
        <w:t>Namibia</w:t>
      </w:r>
      <w:proofErr w:type="gramEnd"/>
      <w:r w:rsidRPr="002D05D8">
        <w:t xml:space="preserve"> and Ghana. </w:t>
      </w:r>
      <w:r w:rsidRPr="002D05D8">
        <w:rPr>
          <w:i/>
        </w:rPr>
        <w:t xml:space="preserve">International Journal of Spatial Data Infrastructures Research </w:t>
      </w:r>
      <w:r w:rsidRPr="002D05D8">
        <w:t>12, pp. 1–25.</w:t>
      </w:r>
    </w:p>
    <w:p w14:paraId="78DD0C72" w14:textId="77777777" w:rsidR="002F3F93" w:rsidRPr="002D05D8" w:rsidRDefault="002F3F93" w:rsidP="002F3F93">
      <w:pPr>
        <w:spacing w:before="40" w:after="0"/>
        <w:ind w:left="284" w:hanging="284"/>
      </w:pPr>
      <w:proofErr w:type="spellStart"/>
      <w:r w:rsidRPr="002D05D8">
        <w:t>Sinvula</w:t>
      </w:r>
      <w:proofErr w:type="spellEnd"/>
      <w:r w:rsidRPr="002D05D8">
        <w:t xml:space="preserve">, K. M., Coetzee, S., Cooper, A. K. and </w:t>
      </w:r>
      <w:proofErr w:type="spellStart"/>
      <w:r w:rsidRPr="002D05D8">
        <w:t>Hipondoka</w:t>
      </w:r>
      <w:proofErr w:type="spellEnd"/>
      <w:r w:rsidRPr="002D05D8">
        <w:t xml:space="preserve">, M., 2012. Exploring the potential suitability of an SDI model in context of the National Spatial Data Infrastructure (NSDI) of Namibia. In: </w:t>
      </w:r>
      <w:r w:rsidRPr="002D05D8">
        <w:rPr>
          <w:i/>
        </w:rPr>
        <w:t xml:space="preserve">GISSA </w:t>
      </w:r>
      <w:proofErr w:type="spellStart"/>
      <w:r w:rsidRPr="002D05D8">
        <w:rPr>
          <w:i/>
        </w:rPr>
        <w:t>Ukubuzana</w:t>
      </w:r>
      <w:proofErr w:type="spellEnd"/>
      <w:r w:rsidRPr="002D05D8">
        <w:rPr>
          <w:i/>
        </w:rPr>
        <w:t xml:space="preserve"> 2012 Conference</w:t>
      </w:r>
      <w:r w:rsidRPr="002D05D8">
        <w:t>, Kempton Park, South Africa.</w:t>
      </w:r>
    </w:p>
    <w:p w14:paraId="5333645A" w14:textId="77777777" w:rsidR="002F3F93" w:rsidRPr="002D05D8" w:rsidRDefault="002F3F93" w:rsidP="002F3F93">
      <w:pPr>
        <w:spacing w:before="40" w:after="0"/>
        <w:ind w:left="284" w:hanging="284"/>
      </w:pPr>
      <w:proofErr w:type="spellStart"/>
      <w:r w:rsidRPr="002D05D8">
        <w:t>Sinvula</w:t>
      </w:r>
      <w:proofErr w:type="spellEnd"/>
      <w:r w:rsidRPr="002D05D8">
        <w:t xml:space="preserve">, K. M., Coetzee, S., Cooper, A. K., </w:t>
      </w:r>
      <w:proofErr w:type="spellStart"/>
      <w:r w:rsidRPr="002D05D8">
        <w:t>Nangolo</w:t>
      </w:r>
      <w:proofErr w:type="spellEnd"/>
      <w:r w:rsidRPr="002D05D8">
        <w:t xml:space="preserve">, E., Owusu-Banahene, W., Rautenbach, V. and </w:t>
      </w:r>
      <w:proofErr w:type="spellStart"/>
      <w:r w:rsidRPr="002D05D8">
        <w:t>Hipondoka</w:t>
      </w:r>
      <w:proofErr w:type="spellEnd"/>
      <w:r w:rsidRPr="002D05D8">
        <w:t>, M., 2013. A contextual ICA stakeholder model approach for the Namibian Spatial Data Infrastructure (</w:t>
      </w:r>
      <w:proofErr w:type="spellStart"/>
      <w:r w:rsidRPr="002D05D8">
        <w:t>NamSDI</w:t>
      </w:r>
      <w:proofErr w:type="spellEnd"/>
      <w:r w:rsidRPr="002D05D8">
        <w:t xml:space="preserve">). In: </w:t>
      </w:r>
      <w:r w:rsidRPr="002D05D8">
        <w:rPr>
          <w:i/>
        </w:rPr>
        <w:t xml:space="preserve">26th International Cartographic </w:t>
      </w:r>
      <w:r w:rsidRPr="002D05D8">
        <w:rPr>
          <w:i/>
        </w:rPr>
        <w:t>Conference (ICC 2013)</w:t>
      </w:r>
      <w:r w:rsidRPr="002D05D8">
        <w:t>, Dresden, Germany, pp. 381–394.</w:t>
      </w:r>
    </w:p>
    <w:p w14:paraId="4052F106" w14:textId="77777777" w:rsidR="002F3F93" w:rsidRPr="002D05D8" w:rsidRDefault="002F3F93" w:rsidP="002F3F93">
      <w:pPr>
        <w:spacing w:before="40" w:after="0"/>
        <w:ind w:left="284" w:hanging="284"/>
      </w:pPr>
      <w:r w:rsidRPr="002D05D8">
        <w:t xml:space="preserve">South Africa, 2003. </w:t>
      </w:r>
      <w:r w:rsidRPr="002D05D8">
        <w:rPr>
          <w:i/>
        </w:rPr>
        <w:t>Spatial Data Infrastructure Act (Act No 54 of 2003)</w:t>
      </w:r>
      <w:r w:rsidRPr="002D05D8">
        <w:t>.</w:t>
      </w:r>
    </w:p>
    <w:p w14:paraId="48F543BA" w14:textId="77777777" w:rsidR="002F3F93" w:rsidRPr="002D05D8" w:rsidRDefault="002F3F93" w:rsidP="002F3F93">
      <w:pPr>
        <w:spacing w:before="40" w:after="0"/>
        <w:ind w:left="284" w:hanging="284"/>
      </w:pPr>
      <w:r w:rsidRPr="002D05D8">
        <w:t xml:space="preserve">South Africa, 16 Feb 2015, </w:t>
      </w:r>
      <w:r w:rsidRPr="002D05D8">
        <w:rPr>
          <w:i/>
          <w:iCs/>
        </w:rPr>
        <w:t>Spatial Data Infrastructure Act: Base Data Set Custodianship Policy and Policy on Pricing of Spatial Information Products and Services</w:t>
      </w:r>
      <w:r w:rsidRPr="002D05D8">
        <w:t>. https://www.gov.za/documents/spatial-data-infrastructure-act-base-data-set-custodianship-policy</w:t>
      </w:r>
    </w:p>
    <w:p w14:paraId="04341A87" w14:textId="77777777" w:rsidR="002F3F93" w:rsidRPr="002D05D8" w:rsidRDefault="002F3F93" w:rsidP="002F3F93">
      <w:pPr>
        <w:spacing w:before="40" w:after="0"/>
        <w:ind w:left="284" w:hanging="284"/>
      </w:pPr>
      <w:proofErr w:type="spellStart"/>
      <w:r w:rsidRPr="002D05D8">
        <w:t>Tamene</w:t>
      </w:r>
      <w:proofErr w:type="spellEnd"/>
      <w:r w:rsidRPr="002D05D8">
        <w:t xml:space="preserve"> L., Ali A., </w:t>
      </w:r>
      <w:proofErr w:type="spellStart"/>
      <w:r w:rsidRPr="002D05D8">
        <w:t>Sewnet</w:t>
      </w:r>
      <w:proofErr w:type="spellEnd"/>
      <w:r w:rsidRPr="002D05D8">
        <w:t xml:space="preserve"> H., </w:t>
      </w:r>
      <w:proofErr w:type="spellStart"/>
      <w:r w:rsidRPr="002D05D8">
        <w:t>Tilaye</w:t>
      </w:r>
      <w:proofErr w:type="spellEnd"/>
      <w:r w:rsidRPr="002D05D8">
        <w:t xml:space="preserve"> A. &amp; </w:t>
      </w:r>
      <w:proofErr w:type="spellStart"/>
      <w:r w:rsidRPr="002D05D8">
        <w:t>Abera</w:t>
      </w:r>
      <w:proofErr w:type="spellEnd"/>
      <w:r w:rsidRPr="002D05D8">
        <w:t xml:space="preserve"> W. Dec 2021. AICCRA Ethiopia Partnerships for co-designing system architecture and co-creation of sustainable ag-data hub: a guiding document. Alliance and Partners Report. CGIAR Research Program on Climate Change, Agriculture and Food Security (CCAFS), Wageningen, the Netherlands.</w:t>
      </w:r>
    </w:p>
    <w:p w14:paraId="5DEA6C5B" w14:textId="77777777" w:rsidR="002F3F93" w:rsidRPr="002D05D8" w:rsidRDefault="002F3F93" w:rsidP="002F3F93">
      <w:pPr>
        <w:spacing w:before="40" w:after="0"/>
        <w:ind w:left="284" w:hanging="284"/>
      </w:pPr>
      <w:r w:rsidRPr="002D05D8">
        <w:t xml:space="preserve">Torres, R. M., </w:t>
      </w:r>
      <w:proofErr w:type="spellStart"/>
      <w:r w:rsidRPr="002D05D8">
        <w:t>Lisboa</w:t>
      </w:r>
      <w:proofErr w:type="spellEnd"/>
      <w:r w:rsidRPr="002D05D8">
        <w:t xml:space="preserve">-Filho, J., Oliveira, I. L., Moura, C. A. and da Silva, A. G., 2017a. Specifying the engineering viewpoint of ICA’s formal model in a corporate spatial data infrastructure. In: </w:t>
      </w:r>
      <w:r w:rsidRPr="002D05D8">
        <w:rPr>
          <w:i/>
        </w:rPr>
        <w:t>Ninth International Conference on Advanced Geographic Information Systems, Applications, and Services (</w:t>
      </w:r>
      <w:proofErr w:type="spellStart"/>
      <w:r w:rsidRPr="002D05D8">
        <w:rPr>
          <w:i/>
        </w:rPr>
        <w:t>GEOProcessing</w:t>
      </w:r>
      <w:proofErr w:type="spellEnd"/>
      <w:r w:rsidRPr="002D05D8">
        <w:rPr>
          <w:i/>
        </w:rPr>
        <w:t xml:space="preserve"> 2017)</w:t>
      </w:r>
      <w:r w:rsidRPr="002D05D8">
        <w:t>, Nice, France, pp. 110–116.</w:t>
      </w:r>
    </w:p>
    <w:p w14:paraId="054BCB8F" w14:textId="77777777" w:rsidR="002F3F93" w:rsidRPr="002D05D8" w:rsidRDefault="002F3F93" w:rsidP="002F3F93">
      <w:pPr>
        <w:spacing w:before="40" w:after="0"/>
        <w:ind w:left="284" w:hanging="284"/>
      </w:pPr>
      <w:r w:rsidRPr="002D05D8">
        <w:t xml:space="preserve">Torres, R. M., Oliveira, I. L., </w:t>
      </w:r>
      <w:proofErr w:type="spellStart"/>
      <w:r w:rsidRPr="002D05D8">
        <w:t>Lisboa</w:t>
      </w:r>
      <w:proofErr w:type="spellEnd"/>
      <w:r w:rsidRPr="002D05D8">
        <w:t xml:space="preserve">-Filho, J., Moura, C. A. and da Silva, A. G., 2017b. Specifying the technology viewpoint for a corporate spatial data infrastructure using ICA’s formal model. In: </w:t>
      </w:r>
      <w:r w:rsidRPr="002D05D8">
        <w:rPr>
          <w:i/>
        </w:rPr>
        <w:t>19th International Conference on Enterprise Information Systems (ICEIS)</w:t>
      </w:r>
      <w:r w:rsidRPr="002D05D8">
        <w:t>, Porto, Portugal, vol 2, pp. 333–340.</w:t>
      </w:r>
    </w:p>
    <w:p w14:paraId="5FA43FCE" w14:textId="1E66AA8C" w:rsidR="00C461F1" w:rsidRDefault="00C461F1" w:rsidP="00E331C5">
      <w:pPr>
        <w:pStyle w:val="Referencetext"/>
      </w:pPr>
    </w:p>
    <w:p w14:paraId="63A99054" w14:textId="77777777" w:rsidR="0030631A" w:rsidRPr="007E1DB3" w:rsidRDefault="0030631A" w:rsidP="00E331C5">
      <w:pPr>
        <w:pStyle w:val="Referencetext"/>
      </w:pPr>
    </w:p>
    <w:sectPr w:rsidR="0030631A" w:rsidRPr="007E1DB3" w:rsidSect="00135A25">
      <w:headerReference w:type="default" r:id="rId9"/>
      <w:headerReference w:type="first" r:id="rId10"/>
      <w:type w:val="continuous"/>
      <w:pgSz w:w="11907" w:h="16840" w:code="9"/>
      <w:pgMar w:top="1418" w:right="1134" w:bottom="1588" w:left="1134" w:header="567" w:footer="1418" w:gutter="0"/>
      <w:pgNumType w:start="1"/>
      <w:cols w:num="2" w:space="341" w:equalWidth="0">
        <w:col w:w="4649" w:space="341"/>
        <w:col w:w="4649"/>
      </w:cols>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DB932" w14:textId="77777777" w:rsidR="00BD42EE" w:rsidRDefault="00BD42EE" w:rsidP="007A6B63">
      <w:r>
        <w:separator/>
      </w:r>
    </w:p>
  </w:endnote>
  <w:endnote w:type="continuationSeparator" w:id="0">
    <w:p w14:paraId="558C5224" w14:textId="77777777" w:rsidR="00BD42EE" w:rsidRDefault="00BD42EE" w:rsidP="007A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93C7F" w14:textId="77777777" w:rsidR="00BD42EE" w:rsidRDefault="00BD42EE" w:rsidP="007A6B63">
      <w:r>
        <w:separator/>
      </w:r>
    </w:p>
  </w:footnote>
  <w:footnote w:type="continuationSeparator" w:id="0">
    <w:p w14:paraId="031C1652" w14:textId="77777777" w:rsidR="00BD42EE" w:rsidRDefault="00BD42EE" w:rsidP="007A6B63">
      <w:r>
        <w:continuationSeparator/>
      </w:r>
    </w:p>
  </w:footnote>
  <w:footnote w:id="1">
    <w:p w14:paraId="4DCE1F8D" w14:textId="4F97ECB7" w:rsidR="004C3A18" w:rsidRPr="00844FC3" w:rsidRDefault="004C3A18" w:rsidP="004C3A18">
      <w:pPr>
        <w:pStyle w:val="footnotedescription"/>
        <w:ind w:left="227" w:hanging="227"/>
        <w:rPr>
          <w:sz w:val="18"/>
          <w:szCs w:val="18"/>
        </w:rPr>
      </w:pPr>
      <w:r w:rsidRPr="00844FC3">
        <w:rPr>
          <w:rStyle w:val="FootnoteCharacters"/>
          <w:sz w:val="18"/>
          <w:szCs w:val="18"/>
        </w:rPr>
        <w:footnoteRef/>
      </w:r>
      <w:r w:rsidRPr="00844FC3">
        <w:rPr>
          <w:sz w:val="18"/>
          <w:szCs w:val="18"/>
        </w:rPr>
        <w:t xml:space="preserve"> </w:t>
      </w:r>
      <w:r w:rsidR="008E6940">
        <w:rPr>
          <w:sz w:val="18"/>
          <w:szCs w:val="18"/>
        </w:rPr>
        <w:t>A</w:t>
      </w:r>
      <w:r w:rsidRPr="00844FC3">
        <w:rPr>
          <w:sz w:val="18"/>
          <w:szCs w:val="18"/>
        </w:rPr>
        <w:t>dapted from the glossary of the Interoperability Clearinghouse, which is no longer available online.</w:t>
      </w:r>
    </w:p>
  </w:footnote>
  <w:footnote w:id="2">
    <w:p w14:paraId="779D41BB" w14:textId="77777777" w:rsidR="004C3A18" w:rsidRPr="00844FC3" w:rsidRDefault="004C3A18" w:rsidP="004C3A18">
      <w:pPr>
        <w:pStyle w:val="FootnoteText"/>
        <w:rPr>
          <w:szCs w:val="18"/>
          <w:lang w:val="en-US"/>
        </w:rPr>
      </w:pPr>
      <w:r w:rsidRPr="00844FC3">
        <w:rPr>
          <w:rStyle w:val="FootnoteReference"/>
          <w:szCs w:val="18"/>
        </w:rPr>
        <w:footnoteRef/>
      </w:r>
      <w:r w:rsidRPr="00844FC3">
        <w:rPr>
          <w:szCs w:val="18"/>
        </w:rPr>
        <w:t xml:space="preserve"> </w:t>
      </w:r>
      <w:r w:rsidRPr="00844FC3">
        <w:rPr>
          <w:szCs w:val="18"/>
          <w:lang w:val="en-US"/>
        </w:rPr>
        <w:t>Due to limited space, it is not possible to list all the subtypes in this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0F52" w14:textId="77777777" w:rsidR="00D65F79" w:rsidRDefault="00A03DC0" w:rsidP="00AB334C">
    <w:pPr>
      <w:pStyle w:val="Header"/>
      <w:pBdr>
        <w:bottom w:val="single" w:sz="6" w:space="1" w:color="auto"/>
      </w:pBdr>
      <w:jc w:val="left"/>
    </w:pPr>
    <w:r>
      <w:rPr>
        <w:noProof/>
        <w:lang w:eastAsia="en-GB"/>
      </w:rPr>
      <w:drawing>
        <wp:inline distT="0" distB="0" distL="0" distR="0" wp14:anchorId="31FACF02" wp14:editId="7DE4403D">
          <wp:extent cx="2001600" cy="432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_ful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F464A24" w14:textId="575328F0" w:rsidR="00D65F79" w:rsidRPr="00ED31F4" w:rsidRDefault="00ED31F4" w:rsidP="00ED31F4">
        <w:pPr>
          <w:pStyle w:val="Pagenumbers"/>
        </w:pPr>
        <w:r w:rsidRPr="00ED31F4">
          <w:fldChar w:fldCharType="begin"/>
        </w:r>
        <w:r w:rsidRPr="00ED31F4">
          <w:instrText xml:space="preserve"> PAGE </w:instrText>
        </w:r>
        <w:r w:rsidRPr="00ED31F4">
          <w:fldChar w:fldCharType="separate"/>
        </w:r>
        <w:r w:rsidRPr="00ED31F4">
          <w:rPr>
            <w:noProof/>
          </w:rPr>
          <w:t>2</w:t>
        </w:r>
        <w:r w:rsidRPr="00ED31F4">
          <w:fldChar w:fldCharType="end"/>
        </w:r>
        <w:r w:rsidRPr="00ED31F4">
          <w:t xml:space="preserve"> of </w:t>
        </w:r>
        <w:r w:rsidRPr="00ED31F4">
          <w:fldChar w:fldCharType="begin"/>
        </w:r>
        <w:r w:rsidRPr="00ED31F4">
          <w:instrText xml:space="preserve"> NUMPAGES  </w:instrText>
        </w:r>
        <w:r w:rsidRPr="00ED31F4">
          <w:fldChar w:fldCharType="separate"/>
        </w:r>
        <w:r w:rsidRPr="00ED31F4">
          <w:rPr>
            <w:noProof/>
          </w:rPr>
          <w:t>2</w:t>
        </w:r>
        <w:r w:rsidRPr="00ED31F4">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659F" w14:textId="77777777" w:rsidR="00D65F79" w:rsidRDefault="00D65F79" w:rsidP="007A6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D46338"/>
    <w:lvl w:ilvl="0">
      <w:start w:val="1"/>
      <w:numFmt w:val="bullet"/>
      <w:pStyle w:val="Aufzhlungszeichen1"/>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2C925BBA"/>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firstLine="0"/>
      </w:pPr>
      <w:rPr>
        <w:rFonts w:ascii="Times New Roman" w:hAnsi="Times New Roman" w:hint="default"/>
        <w:b w:val="0"/>
        <w:i w:val="0"/>
        <w:sz w:val="22"/>
      </w:rPr>
    </w:lvl>
    <w:lvl w:ilvl="4">
      <w:start w:val="1"/>
      <w:numFmt w:val="decimal"/>
      <w:pStyle w:val="Heading5"/>
      <w:lvlText w:val="(%5)"/>
      <w:lvlJc w:val="left"/>
      <w:pPr>
        <w:tabs>
          <w:tab w:val="num" w:pos="0"/>
        </w:tabs>
        <w:ind w:left="708" w:hanging="708"/>
      </w:pPr>
    </w:lvl>
    <w:lvl w:ilvl="5">
      <w:start w:val="1"/>
      <w:numFmt w:val="lowerLetter"/>
      <w:pStyle w:val="Heading6"/>
      <w:lvlText w:val="(%6)"/>
      <w:lvlJc w:val="left"/>
      <w:pPr>
        <w:tabs>
          <w:tab w:val="num" w:pos="0"/>
        </w:tabs>
        <w:ind w:left="1416" w:hanging="708"/>
      </w:pPr>
    </w:lvl>
    <w:lvl w:ilvl="6">
      <w:start w:val="1"/>
      <w:numFmt w:val="lowerRoman"/>
      <w:pStyle w:val="Heading7"/>
      <w:lvlText w:val="(%7)"/>
      <w:lvlJc w:val="left"/>
      <w:pPr>
        <w:tabs>
          <w:tab w:val="num" w:pos="0"/>
        </w:tabs>
        <w:ind w:left="2124" w:hanging="708"/>
      </w:pPr>
    </w:lvl>
    <w:lvl w:ilvl="7">
      <w:start w:val="1"/>
      <w:numFmt w:val="lowerLetter"/>
      <w:pStyle w:val="Heading8"/>
      <w:lvlText w:val="(%8)"/>
      <w:lvlJc w:val="left"/>
      <w:pPr>
        <w:tabs>
          <w:tab w:val="num" w:pos="0"/>
        </w:tabs>
        <w:ind w:left="2832" w:hanging="708"/>
      </w:pPr>
    </w:lvl>
    <w:lvl w:ilvl="8">
      <w:start w:val="1"/>
      <w:numFmt w:val="lowerRoman"/>
      <w:pStyle w:val="Heading9"/>
      <w:lvlText w:val="(%9)"/>
      <w:lvlJc w:val="left"/>
      <w:pPr>
        <w:tabs>
          <w:tab w:val="num" w:pos="0"/>
        </w:tabs>
        <w:ind w:left="3540" w:hanging="708"/>
      </w:pPr>
    </w:lvl>
  </w:abstractNum>
  <w:abstractNum w:abstractNumId="2" w15:restartNumberingAfterBreak="0">
    <w:nsid w:val="FFFFFFFE"/>
    <w:multiLevelType w:val="singleLevel"/>
    <w:tmpl w:val="9CD2D358"/>
    <w:lvl w:ilvl="0">
      <w:numFmt w:val="decimal"/>
      <w:pStyle w:val="Listdash"/>
      <w:lvlText w:val="*"/>
      <w:lvlJc w:val="left"/>
    </w:lvl>
  </w:abstractNum>
  <w:abstractNum w:abstractNumId="3" w15:restartNumberingAfterBreak="0">
    <w:nsid w:val="052F1E28"/>
    <w:multiLevelType w:val="singleLevel"/>
    <w:tmpl w:val="FC96C3B0"/>
    <w:lvl w:ilvl="0">
      <w:start w:val="1"/>
      <w:numFmt w:val="lowerLetter"/>
      <w:pStyle w:val="Listletters"/>
      <w:lvlText w:val="%1)"/>
      <w:lvlJc w:val="left"/>
      <w:pPr>
        <w:tabs>
          <w:tab w:val="num" w:pos="717"/>
        </w:tabs>
        <w:ind w:left="360" w:hanging="3"/>
      </w:pPr>
      <w:rPr>
        <w:rFonts w:ascii="Times New Roman" w:hAnsi="Times New Roman" w:hint="default"/>
        <w:b w:val="0"/>
        <w:i w:val="0"/>
        <w:sz w:val="18"/>
        <w:u w:val="none"/>
      </w:rPr>
    </w:lvl>
  </w:abstractNum>
  <w:abstractNum w:abstractNumId="4" w15:restartNumberingAfterBreak="0">
    <w:nsid w:val="0C83369A"/>
    <w:multiLevelType w:val="hybridMultilevel"/>
    <w:tmpl w:val="E2A2E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56368B"/>
    <w:multiLevelType w:val="hybridMultilevel"/>
    <w:tmpl w:val="AE30E3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7F16C1"/>
    <w:multiLevelType w:val="hybridMultilevel"/>
    <w:tmpl w:val="4C306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808643E"/>
    <w:multiLevelType w:val="singleLevel"/>
    <w:tmpl w:val="B1383560"/>
    <w:lvl w:ilvl="0">
      <w:start w:val="1"/>
      <w:numFmt w:val="decimal"/>
      <w:pStyle w:val="RefAcknowAppendixtitleoneline"/>
      <w:lvlText w:val="%1."/>
      <w:lvlJc w:val="left"/>
      <w:pPr>
        <w:tabs>
          <w:tab w:val="num" w:pos="717"/>
        </w:tabs>
        <w:ind w:left="360" w:hanging="3"/>
      </w:pPr>
      <w:rPr>
        <w:rFonts w:ascii="Times New Roman" w:hAnsi="Times New Roman" w:hint="default"/>
        <w:b w:val="0"/>
        <w:i w:val="0"/>
        <w:sz w:val="18"/>
        <w:u w:val="none"/>
      </w:rPr>
    </w:lvl>
  </w:abstractNum>
  <w:abstractNum w:abstractNumId="8" w15:restartNumberingAfterBreak="0">
    <w:nsid w:val="2B1A51AD"/>
    <w:multiLevelType w:val="hybridMultilevel"/>
    <w:tmpl w:val="243C77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2E37540"/>
    <w:multiLevelType w:val="hybridMultilevel"/>
    <w:tmpl w:val="E3AE2E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01A73C6"/>
    <w:multiLevelType w:val="hybridMultilevel"/>
    <w:tmpl w:val="54C8E7AA"/>
    <w:lvl w:ilvl="0" w:tplc="708AB9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C86D81"/>
    <w:multiLevelType w:val="hybridMultilevel"/>
    <w:tmpl w:val="1A3A95E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176427"/>
    <w:multiLevelType w:val="hybridMultilevel"/>
    <w:tmpl w:val="A2DEA524"/>
    <w:lvl w:ilvl="0" w:tplc="07745F7C">
      <w:start w:val="1"/>
      <w:numFmt w:val="decimal"/>
      <w:pStyle w:val="Listnumbering"/>
      <w:lvlText w:val="%1)"/>
      <w:lvlJc w:val="left"/>
      <w:pPr>
        <w:ind w:left="397" w:hanging="227"/>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3" w15:restartNumberingAfterBreak="0">
    <w:nsid w:val="4D3708B9"/>
    <w:multiLevelType w:val="hybridMultilevel"/>
    <w:tmpl w:val="884C6F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4F72E77"/>
    <w:multiLevelType w:val="hybridMultilevel"/>
    <w:tmpl w:val="1B9A6A2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6D71E79"/>
    <w:multiLevelType w:val="hybridMultilevel"/>
    <w:tmpl w:val="707488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9315805"/>
    <w:multiLevelType w:val="hybridMultilevel"/>
    <w:tmpl w:val="AF3C3F6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lvlOverride w:ilvl="0">
      <w:lvl w:ilvl="0">
        <w:start w:val="1"/>
        <w:numFmt w:val="bullet"/>
        <w:pStyle w:val="Listdash"/>
        <w:lvlText w:val=""/>
        <w:lvlJc w:val="left"/>
        <w:pPr>
          <w:tabs>
            <w:tab w:val="num" w:pos="717"/>
          </w:tabs>
          <w:ind w:left="357" w:firstLine="0"/>
        </w:pPr>
        <w:rPr>
          <w:rFonts w:ascii="Symbol" w:hAnsi="Symbol" w:hint="default"/>
        </w:rPr>
      </w:lvl>
    </w:lvlOverride>
  </w:num>
  <w:num w:numId="3">
    <w:abstractNumId w:val="7"/>
  </w:num>
  <w:num w:numId="4">
    <w:abstractNumId w:val="3"/>
  </w:num>
  <w:num w:numId="5">
    <w:abstractNumId w:val="0"/>
  </w:num>
  <w:num w:numId="6">
    <w:abstractNumId w:val="4"/>
  </w:num>
  <w:num w:numId="7">
    <w:abstractNumId w:val="14"/>
  </w:num>
  <w:num w:numId="8">
    <w:abstractNumId w:val="12"/>
  </w:num>
  <w:num w:numId="9">
    <w:abstractNumId w:val="10"/>
  </w:num>
  <w:num w:numId="10">
    <w:abstractNumId w:val="5"/>
  </w:num>
  <w:num w:numId="11">
    <w:abstractNumId w:val="3"/>
  </w:num>
  <w:num w:numId="12">
    <w:abstractNumId w:val="16"/>
  </w:num>
  <w:num w:numId="13">
    <w:abstractNumId w:val="3"/>
  </w:num>
  <w:num w:numId="14">
    <w:abstractNumId w:val="12"/>
    <w:lvlOverride w:ilvl="0">
      <w:startOverride w:val="1"/>
    </w:lvlOverride>
  </w:num>
  <w:num w:numId="15">
    <w:abstractNumId w:val="11"/>
  </w:num>
  <w:num w:numId="16">
    <w:abstractNumId w:val="15"/>
  </w:num>
  <w:num w:numId="17">
    <w:abstractNumId w:val="6"/>
  </w:num>
  <w:num w:numId="18">
    <w:abstractNumId w:val="9"/>
  </w:num>
  <w:num w:numId="19">
    <w:abstractNumId w:val="8"/>
  </w:num>
  <w:num w:numId="2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hyphenationZone w:val="425"/>
  <w:doNotHyphenateCaps/>
  <w:drawingGridHorizontalSpacing w:val="9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9D"/>
    <w:rsid w:val="000040D5"/>
    <w:rsid w:val="0000784F"/>
    <w:rsid w:val="00023441"/>
    <w:rsid w:val="00031F30"/>
    <w:rsid w:val="000344F4"/>
    <w:rsid w:val="00037BBE"/>
    <w:rsid w:val="000511BA"/>
    <w:rsid w:val="0005453A"/>
    <w:rsid w:val="00064308"/>
    <w:rsid w:val="00071E91"/>
    <w:rsid w:val="0007375D"/>
    <w:rsid w:val="000A5C7F"/>
    <w:rsid w:val="000A69E7"/>
    <w:rsid w:val="000B16E3"/>
    <w:rsid w:val="000C4B9D"/>
    <w:rsid w:val="000D726E"/>
    <w:rsid w:val="000E0387"/>
    <w:rsid w:val="000E2E47"/>
    <w:rsid w:val="000E4B1D"/>
    <w:rsid w:val="00123D70"/>
    <w:rsid w:val="00135A25"/>
    <w:rsid w:val="00157F64"/>
    <w:rsid w:val="001724FF"/>
    <w:rsid w:val="00175DB5"/>
    <w:rsid w:val="00183243"/>
    <w:rsid w:val="00187EAF"/>
    <w:rsid w:val="0019344D"/>
    <w:rsid w:val="001A3293"/>
    <w:rsid w:val="001B060D"/>
    <w:rsid w:val="001B401B"/>
    <w:rsid w:val="001D1E57"/>
    <w:rsid w:val="001E4900"/>
    <w:rsid w:val="001E4A76"/>
    <w:rsid w:val="001F7972"/>
    <w:rsid w:val="00203119"/>
    <w:rsid w:val="00203651"/>
    <w:rsid w:val="00203D33"/>
    <w:rsid w:val="00205E2C"/>
    <w:rsid w:val="00252A00"/>
    <w:rsid w:val="0026034D"/>
    <w:rsid w:val="00266CF4"/>
    <w:rsid w:val="0028561D"/>
    <w:rsid w:val="002943D4"/>
    <w:rsid w:val="002A47F7"/>
    <w:rsid w:val="002A74A5"/>
    <w:rsid w:val="002C0C49"/>
    <w:rsid w:val="002C28A5"/>
    <w:rsid w:val="002D00E6"/>
    <w:rsid w:val="002E7BD8"/>
    <w:rsid w:val="002F10C8"/>
    <w:rsid w:val="002F3F93"/>
    <w:rsid w:val="002F676A"/>
    <w:rsid w:val="0030631A"/>
    <w:rsid w:val="00311FA1"/>
    <w:rsid w:val="003152F7"/>
    <w:rsid w:val="00357180"/>
    <w:rsid w:val="00383CA5"/>
    <w:rsid w:val="00393F02"/>
    <w:rsid w:val="003A4E42"/>
    <w:rsid w:val="003A5EE9"/>
    <w:rsid w:val="003B4FCD"/>
    <w:rsid w:val="003C07AE"/>
    <w:rsid w:val="003E55C8"/>
    <w:rsid w:val="003F1673"/>
    <w:rsid w:val="004079FC"/>
    <w:rsid w:val="004145E4"/>
    <w:rsid w:val="00417692"/>
    <w:rsid w:val="00426529"/>
    <w:rsid w:val="00433A7E"/>
    <w:rsid w:val="00433F78"/>
    <w:rsid w:val="00441638"/>
    <w:rsid w:val="00442FF3"/>
    <w:rsid w:val="004445CA"/>
    <w:rsid w:val="00450AB0"/>
    <w:rsid w:val="0047062C"/>
    <w:rsid w:val="00477264"/>
    <w:rsid w:val="00481B82"/>
    <w:rsid w:val="00483289"/>
    <w:rsid w:val="00493B3C"/>
    <w:rsid w:val="004A10E5"/>
    <w:rsid w:val="004B3590"/>
    <w:rsid w:val="004C3A18"/>
    <w:rsid w:val="004C77A0"/>
    <w:rsid w:val="004D2E77"/>
    <w:rsid w:val="004D6BA1"/>
    <w:rsid w:val="004F63E7"/>
    <w:rsid w:val="0050010D"/>
    <w:rsid w:val="00500DF4"/>
    <w:rsid w:val="0050369F"/>
    <w:rsid w:val="005134A7"/>
    <w:rsid w:val="0051614D"/>
    <w:rsid w:val="0052453B"/>
    <w:rsid w:val="005433C3"/>
    <w:rsid w:val="00566399"/>
    <w:rsid w:val="005723DE"/>
    <w:rsid w:val="00576E58"/>
    <w:rsid w:val="00582C5D"/>
    <w:rsid w:val="0058701E"/>
    <w:rsid w:val="00587EB7"/>
    <w:rsid w:val="005916EE"/>
    <w:rsid w:val="005A1668"/>
    <w:rsid w:val="005A4B96"/>
    <w:rsid w:val="005B1C89"/>
    <w:rsid w:val="005C04C4"/>
    <w:rsid w:val="005C1416"/>
    <w:rsid w:val="005C7D3C"/>
    <w:rsid w:val="005F124E"/>
    <w:rsid w:val="005F749D"/>
    <w:rsid w:val="00604320"/>
    <w:rsid w:val="00612F0C"/>
    <w:rsid w:val="00612FAE"/>
    <w:rsid w:val="0061454D"/>
    <w:rsid w:val="00625BE7"/>
    <w:rsid w:val="006266F4"/>
    <w:rsid w:val="00650BF4"/>
    <w:rsid w:val="006554BF"/>
    <w:rsid w:val="006634D7"/>
    <w:rsid w:val="00664035"/>
    <w:rsid w:val="00672164"/>
    <w:rsid w:val="00672430"/>
    <w:rsid w:val="00675FA2"/>
    <w:rsid w:val="00680135"/>
    <w:rsid w:val="00696319"/>
    <w:rsid w:val="006A567F"/>
    <w:rsid w:val="006A6158"/>
    <w:rsid w:val="006B20E5"/>
    <w:rsid w:val="006C140F"/>
    <w:rsid w:val="006E1443"/>
    <w:rsid w:val="006E3D08"/>
    <w:rsid w:val="006E75F5"/>
    <w:rsid w:val="006E7EE7"/>
    <w:rsid w:val="006F7E0B"/>
    <w:rsid w:val="007136BF"/>
    <w:rsid w:val="007167D9"/>
    <w:rsid w:val="007257EE"/>
    <w:rsid w:val="00726F77"/>
    <w:rsid w:val="007367EF"/>
    <w:rsid w:val="0074349E"/>
    <w:rsid w:val="00746B55"/>
    <w:rsid w:val="00765483"/>
    <w:rsid w:val="00775B9F"/>
    <w:rsid w:val="00781385"/>
    <w:rsid w:val="00784C81"/>
    <w:rsid w:val="00791C60"/>
    <w:rsid w:val="0079222B"/>
    <w:rsid w:val="00796462"/>
    <w:rsid w:val="007A6B63"/>
    <w:rsid w:val="007B1C34"/>
    <w:rsid w:val="007C03A5"/>
    <w:rsid w:val="007C1D73"/>
    <w:rsid w:val="007D0D7B"/>
    <w:rsid w:val="007D20B3"/>
    <w:rsid w:val="007E0731"/>
    <w:rsid w:val="007E15AE"/>
    <w:rsid w:val="007F05C9"/>
    <w:rsid w:val="00802000"/>
    <w:rsid w:val="00824A47"/>
    <w:rsid w:val="00833C4C"/>
    <w:rsid w:val="00851F3A"/>
    <w:rsid w:val="0085424F"/>
    <w:rsid w:val="008550DF"/>
    <w:rsid w:val="008633D4"/>
    <w:rsid w:val="00867A26"/>
    <w:rsid w:val="00872C2B"/>
    <w:rsid w:val="00882BFC"/>
    <w:rsid w:val="00886A89"/>
    <w:rsid w:val="008969C6"/>
    <w:rsid w:val="008A1AE0"/>
    <w:rsid w:val="008A3090"/>
    <w:rsid w:val="008A583A"/>
    <w:rsid w:val="008B3781"/>
    <w:rsid w:val="008B3E56"/>
    <w:rsid w:val="008E6940"/>
    <w:rsid w:val="008F0775"/>
    <w:rsid w:val="00900016"/>
    <w:rsid w:val="00907627"/>
    <w:rsid w:val="00911C1F"/>
    <w:rsid w:val="00913373"/>
    <w:rsid w:val="00945729"/>
    <w:rsid w:val="00956B2E"/>
    <w:rsid w:val="009603A4"/>
    <w:rsid w:val="00971379"/>
    <w:rsid w:val="00973DE0"/>
    <w:rsid w:val="00981C27"/>
    <w:rsid w:val="009B77B7"/>
    <w:rsid w:val="009C4F02"/>
    <w:rsid w:val="009E3ACC"/>
    <w:rsid w:val="009F5F3C"/>
    <w:rsid w:val="009F6640"/>
    <w:rsid w:val="00A02CF8"/>
    <w:rsid w:val="00A03DC0"/>
    <w:rsid w:val="00A22167"/>
    <w:rsid w:val="00A56C4A"/>
    <w:rsid w:val="00A62939"/>
    <w:rsid w:val="00A96EAF"/>
    <w:rsid w:val="00AA7AC6"/>
    <w:rsid w:val="00AB334C"/>
    <w:rsid w:val="00AC55C3"/>
    <w:rsid w:val="00AC6EB7"/>
    <w:rsid w:val="00AE12C9"/>
    <w:rsid w:val="00AF4FED"/>
    <w:rsid w:val="00B04DCC"/>
    <w:rsid w:val="00B11414"/>
    <w:rsid w:val="00B166A4"/>
    <w:rsid w:val="00B415FA"/>
    <w:rsid w:val="00B53E57"/>
    <w:rsid w:val="00B57A01"/>
    <w:rsid w:val="00B747A5"/>
    <w:rsid w:val="00B84A53"/>
    <w:rsid w:val="00B9435A"/>
    <w:rsid w:val="00BC1ACD"/>
    <w:rsid w:val="00BD42EE"/>
    <w:rsid w:val="00C22527"/>
    <w:rsid w:val="00C31951"/>
    <w:rsid w:val="00C406DD"/>
    <w:rsid w:val="00C41977"/>
    <w:rsid w:val="00C461F1"/>
    <w:rsid w:val="00C555CB"/>
    <w:rsid w:val="00C847BC"/>
    <w:rsid w:val="00C9134D"/>
    <w:rsid w:val="00C9607E"/>
    <w:rsid w:val="00CA1C9A"/>
    <w:rsid w:val="00CA2684"/>
    <w:rsid w:val="00CA33D0"/>
    <w:rsid w:val="00CA70BF"/>
    <w:rsid w:val="00CB2980"/>
    <w:rsid w:val="00CC1B50"/>
    <w:rsid w:val="00CD05A9"/>
    <w:rsid w:val="00CE0996"/>
    <w:rsid w:val="00CE5FEF"/>
    <w:rsid w:val="00CF045A"/>
    <w:rsid w:val="00CF713B"/>
    <w:rsid w:val="00D07FF2"/>
    <w:rsid w:val="00D1373A"/>
    <w:rsid w:val="00D604FA"/>
    <w:rsid w:val="00D61786"/>
    <w:rsid w:val="00D65F79"/>
    <w:rsid w:val="00D80191"/>
    <w:rsid w:val="00D85F48"/>
    <w:rsid w:val="00D974D9"/>
    <w:rsid w:val="00DA23C6"/>
    <w:rsid w:val="00DC0BE4"/>
    <w:rsid w:val="00DC1478"/>
    <w:rsid w:val="00DD2C6F"/>
    <w:rsid w:val="00DE762D"/>
    <w:rsid w:val="00DF741C"/>
    <w:rsid w:val="00DF7ACF"/>
    <w:rsid w:val="00E00637"/>
    <w:rsid w:val="00E0154B"/>
    <w:rsid w:val="00E16E89"/>
    <w:rsid w:val="00E17C9B"/>
    <w:rsid w:val="00E331C5"/>
    <w:rsid w:val="00E428DC"/>
    <w:rsid w:val="00E57966"/>
    <w:rsid w:val="00E75E1A"/>
    <w:rsid w:val="00E75FB0"/>
    <w:rsid w:val="00E76161"/>
    <w:rsid w:val="00E8143A"/>
    <w:rsid w:val="00E971A6"/>
    <w:rsid w:val="00E97860"/>
    <w:rsid w:val="00EA31B8"/>
    <w:rsid w:val="00EA34E3"/>
    <w:rsid w:val="00EC64EB"/>
    <w:rsid w:val="00ED31F4"/>
    <w:rsid w:val="00F17737"/>
    <w:rsid w:val="00F22EE9"/>
    <w:rsid w:val="00F250EB"/>
    <w:rsid w:val="00F26BF9"/>
    <w:rsid w:val="00F54A82"/>
    <w:rsid w:val="00F54BFA"/>
    <w:rsid w:val="00F6083C"/>
    <w:rsid w:val="00F72953"/>
    <w:rsid w:val="00F7593E"/>
    <w:rsid w:val="00F82FDC"/>
    <w:rsid w:val="00F84DF1"/>
    <w:rsid w:val="00F9080E"/>
    <w:rsid w:val="00FB3A39"/>
    <w:rsid w:val="00FC2AF6"/>
    <w:rsid w:val="00FD1358"/>
    <w:rsid w:val="00FF3523"/>
    <w:rsid w:val="00FF4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0E6A5C"/>
  <w15:docId w15:val="{1400C71D-2507-4D90-ACCC-24F0972D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037BBE"/>
    <w:pPr>
      <w:tabs>
        <w:tab w:val="left" w:pos="1134"/>
      </w:tabs>
      <w:suppressAutoHyphens/>
      <w:spacing w:after="40"/>
      <w:jc w:val="both"/>
    </w:pPr>
    <w:rPr>
      <w:rFonts w:ascii="Times New Roman" w:hAnsi="Times New Roman"/>
      <w:lang w:val="en-GB" w:eastAsia="en-US"/>
    </w:rPr>
  </w:style>
  <w:style w:type="paragraph" w:styleId="Heading1">
    <w:name w:val="heading 1"/>
    <w:basedOn w:val="Normal"/>
    <w:next w:val="Normal"/>
    <w:qFormat/>
    <w:rsid w:val="00F22EE9"/>
    <w:pPr>
      <w:keepNext/>
      <w:keepLines/>
      <w:widowControl w:val="0"/>
      <w:numPr>
        <w:numId w:val="1"/>
      </w:numPr>
      <w:tabs>
        <w:tab w:val="left" w:pos="284"/>
      </w:tabs>
      <w:spacing w:before="120" w:after="60"/>
      <w:jc w:val="left"/>
      <w:outlineLvl w:val="0"/>
    </w:pPr>
    <w:rPr>
      <w:b/>
      <w:sz w:val="22"/>
    </w:rPr>
  </w:style>
  <w:style w:type="paragraph" w:styleId="Heading2">
    <w:name w:val="heading 2"/>
    <w:next w:val="Normal"/>
    <w:qFormat/>
    <w:rsid w:val="00F22EE9"/>
    <w:pPr>
      <w:keepNext/>
      <w:keepLines/>
      <w:widowControl w:val="0"/>
      <w:numPr>
        <w:ilvl w:val="1"/>
        <w:numId w:val="1"/>
      </w:numPr>
      <w:tabs>
        <w:tab w:val="left" w:pos="454"/>
      </w:tabs>
      <w:suppressAutoHyphens/>
      <w:spacing w:before="100" w:after="60"/>
      <w:jc w:val="both"/>
      <w:outlineLvl w:val="1"/>
    </w:pPr>
    <w:rPr>
      <w:rFonts w:ascii="Times New Roman" w:hAnsi="Times New Roman"/>
      <w:b/>
      <w:lang w:val="en-GB" w:eastAsia="en-US"/>
    </w:rPr>
  </w:style>
  <w:style w:type="paragraph" w:styleId="Heading3">
    <w:name w:val="heading 3"/>
    <w:next w:val="Normal"/>
    <w:qFormat/>
    <w:rsid w:val="00F22EE9"/>
    <w:pPr>
      <w:keepNext/>
      <w:keepLines/>
      <w:widowControl w:val="0"/>
      <w:numPr>
        <w:ilvl w:val="2"/>
        <w:numId w:val="1"/>
      </w:numPr>
      <w:tabs>
        <w:tab w:val="left" w:pos="624"/>
      </w:tabs>
      <w:suppressAutoHyphens/>
      <w:spacing w:before="60" w:after="40"/>
      <w:jc w:val="both"/>
      <w:outlineLvl w:val="2"/>
    </w:pPr>
    <w:rPr>
      <w:rFonts w:ascii="Times New Roman" w:hAnsi="Times New Roman"/>
      <w:i/>
      <w:lang w:val="en-GB" w:eastAsia="en-US"/>
    </w:rPr>
  </w:style>
  <w:style w:type="paragraph" w:styleId="Heading4">
    <w:name w:val="heading 4"/>
    <w:basedOn w:val="Normal"/>
    <w:next w:val="Normal"/>
    <w:qFormat/>
    <w:rsid w:val="00F22EE9"/>
    <w:pPr>
      <w:keepNext/>
      <w:numPr>
        <w:ilvl w:val="3"/>
        <w:numId w:val="1"/>
      </w:numPr>
      <w:spacing w:before="260"/>
      <w:outlineLvl w:val="3"/>
    </w:pPr>
  </w:style>
  <w:style w:type="paragraph" w:styleId="Heading5">
    <w:name w:val="heading 5"/>
    <w:basedOn w:val="Normal"/>
    <w:next w:val="Normal"/>
    <w:qFormat/>
    <w:rsid w:val="00F22EE9"/>
    <w:pPr>
      <w:numPr>
        <w:ilvl w:val="4"/>
        <w:numId w:val="1"/>
      </w:numPr>
      <w:spacing w:before="240" w:after="60"/>
      <w:outlineLvl w:val="4"/>
    </w:pPr>
    <w:rPr>
      <w:rFonts w:ascii="Arial" w:hAnsi="Arial"/>
      <w:sz w:val="22"/>
    </w:rPr>
  </w:style>
  <w:style w:type="paragraph" w:styleId="Heading6">
    <w:name w:val="heading 6"/>
    <w:basedOn w:val="Normal"/>
    <w:next w:val="Normal"/>
    <w:qFormat/>
    <w:rsid w:val="00F22EE9"/>
    <w:pPr>
      <w:numPr>
        <w:ilvl w:val="5"/>
        <w:numId w:val="1"/>
      </w:numPr>
      <w:spacing w:before="240" w:after="60"/>
      <w:outlineLvl w:val="5"/>
    </w:pPr>
    <w:rPr>
      <w:rFonts w:ascii="Arial" w:hAnsi="Arial"/>
      <w:i/>
      <w:sz w:val="22"/>
    </w:rPr>
  </w:style>
  <w:style w:type="paragraph" w:styleId="Heading7">
    <w:name w:val="heading 7"/>
    <w:basedOn w:val="Normal"/>
    <w:next w:val="Normal"/>
    <w:qFormat/>
    <w:rsid w:val="00F22EE9"/>
    <w:pPr>
      <w:numPr>
        <w:ilvl w:val="6"/>
        <w:numId w:val="1"/>
      </w:numPr>
      <w:spacing w:before="240" w:after="60"/>
      <w:outlineLvl w:val="6"/>
    </w:pPr>
    <w:rPr>
      <w:rFonts w:ascii="Arial" w:hAnsi="Arial"/>
    </w:rPr>
  </w:style>
  <w:style w:type="paragraph" w:styleId="Heading8">
    <w:name w:val="heading 8"/>
    <w:basedOn w:val="Normal"/>
    <w:next w:val="Normal"/>
    <w:qFormat/>
    <w:rsid w:val="00F22EE9"/>
    <w:pPr>
      <w:numPr>
        <w:ilvl w:val="7"/>
        <w:numId w:val="1"/>
      </w:numPr>
      <w:spacing w:before="240" w:after="60"/>
      <w:outlineLvl w:val="7"/>
    </w:pPr>
    <w:rPr>
      <w:rFonts w:ascii="Arial" w:hAnsi="Arial"/>
      <w:i/>
    </w:rPr>
  </w:style>
  <w:style w:type="paragraph" w:styleId="Heading9">
    <w:name w:val="heading 9"/>
    <w:basedOn w:val="Normal"/>
    <w:next w:val="Normal"/>
    <w:qFormat/>
    <w:rsid w:val="00F22EE9"/>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22EE9"/>
    <w:pPr>
      <w:tabs>
        <w:tab w:val="center" w:pos="4320"/>
        <w:tab w:val="right" w:pos="8640"/>
      </w:tabs>
    </w:pPr>
  </w:style>
  <w:style w:type="paragraph" w:styleId="Header">
    <w:name w:val="header"/>
    <w:basedOn w:val="Normal"/>
    <w:link w:val="HeaderChar"/>
    <w:uiPriority w:val="99"/>
    <w:rsid w:val="00F22EE9"/>
    <w:pPr>
      <w:tabs>
        <w:tab w:val="center" w:pos="4536"/>
        <w:tab w:val="right" w:pos="9072"/>
      </w:tabs>
      <w:jc w:val="center"/>
    </w:pPr>
  </w:style>
  <w:style w:type="character" w:styleId="Hyperlink">
    <w:name w:val="Hyperlink"/>
    <w:semiHidden/>
    <w:rsid w:val="00F22EE9"/>
    <w:rPr>
      <w:rFonts w:ascii="Times New Roman" w:hAnsi="Times New Roman"/>
      <w:noProof w:val="0"/>
      <w:color w:val="0000FF"/>
      <w:sz w:val="18"/>
      <w:u w:val="none"/>
      <w:lang w:val="en-GB"/>
    </w:rPr>
  </w:style>
  <w:style w:type="paragraph" w:customStyle="1" w:styleId="Author">
    <w:name w:val="Author"/>
    <w:basedOn w:val="Normal"/>
    <w:next w:val="Affiliation"/>
    <w:rsid w:val="00F22EE9"/>
    <w:pPr>
      <w:jc w:val="left"/>
    </w:pPr>
    <w:rPr>
      <w:b/>
    </w:rPr>
  </w:style>
  <w:style w:type="paragraph" w:customStyle="1" w:styleId="Affiliation">
    <w:name w:val="Affiliation"/>
    <w:rsid w:val="008B3E56"/>
    <w:pPr>
      <w:suppressAutoHyphens/>
    </w:pPr>
    <w:rPr>
      <w:rFonts w:ascii="Times New Roman" w:hAnsi="Times New Roman"/>
      <w:i/>
      <w:sz w:val="18"/>
      <w:lang w:val="en-GB" w:eastAsia="en-US"/>
    </w:rPr>
  </w:style>
  <w:style w:type="paragraph" w:styleId="FootnoteText">
    <w:name w:val="footnote text"/>
    <w:link w:val="FootnoteTextChar"/>
    <w:rsid w:val="00F22EE9"/>
    <w:pPr>
      <w:tabs>
        <w:tab w:val="left" w:pos="227"/>
      </w:tabs>
      <w:suppressAutoHyphens/>
      <w:ind w:left="227" w:hanging="227"/>
      <w:jc w:val="both"/>
    </w:pPr>
    <w:rPr>
      <w:rFonts w:ascii="Times New Roman" w:hAnsi="Times New Roman"/>
      <w:sz w:val="18"/>
      <w:lang w:val="en-GB" w:eastAsia="en-US"/>
    </w:rPr>
  </w:style>
  <w:style w:type="paragraph" w:customStyle="1" w:styleId="RefAcknowAppendixtitleoneline">
    <w:name w:val="Ref./Acknow./Appendix title (one line)"/>
    <w:basedOn w:val="Heading1"/>
    <w:autoRedefine/>
    <w:rsid w:val="00F22EE9"/>
    <w:pPr>
      <w:numPr>
        <w:numId w:val="3"/>
      </w:numPr>
    </w:pPr>
    <w:rPr>
      <w:b w:val="0"/>
      <w:sz w:val="20"/>
    </w:rPr>
  </w:style>
  <w:style w:type="paragraph" w:customStyle="1" w:styleId="Papertitle">
    <w:name w:val="Paper title"/>
    <w:basedOn w:val="Normal"/>
    <w:autoRedefine/>
    <w:rsid w:val="00F22EE9"/>
    <w:pPr>
      <w:jc w:val="center"/>
    </w:pPr>
    <w:rPr>
      <w:b/>
      <w:caps/>
      <w:sz w:val="24"/>
    </w:rPr>
  </w:style>
  <w:style w:type="paragraph" w:customStyle="1" w:styleId="Listnumbering">
    <w:name w:val="List numbering"/>
    <w:basedOn w:val="Normal"/>
    <w:autoRedefine/>
    <w:rsid w:val="00F22EE9"/>
    <w:pPr>
      <w:numPr>
        <w:numId w:val="8"/>
      </w:numPr>
      <w:tabs>
        <w:tab w:val="left" w:pos="357"/>
      </w:tabs>
      <w:ind w:left="340" w:hanging="170"/>
    </w:pPr>
    <w:rPr>
      <w:color w:val="000000"/>
    </w:rPr>
  </w:style>
  <w:style w:type="paragraph" w:customStyle="1" w:styleId="Referencetext">
    <w:name w:val="Reference text"/>
    <w:basedOn w:val="Normal"/>
    <w:autoRedefine/>
    <w:rsid w:val="00F22EE9"/>
    <w:pPr>
      <w:spacing w:after="60"/>
      <w:ind w:left="113" w:hanging="113"/>
    </w:pPr>
    <w:rPr>
      <w:lang w:val="en-US"/>
    </w:rPr>
  </w:style>
  <w:style w:type="paragraph" w:customStyle="1" w:styleId="Formula">
    <w:name w:val="Formula"/>
    <w:basedOn w:val="Normal"/>
    <w:next w:val="Normal"/>
    <w:autoRedefine/>
    <w:rsid w:val="00F22EE9"/>
    <w:pPr>
      <w:tabs>
        <w:tab w:val="right" w:pos="4621"/>
      </w:tabs>
      <w:jc w:val="left"/>
    </w:pPr>
  </w:style>
  <w:style w:type="paragraph" w:customStyle="1" w:styleId="Tablecelltext">
    <w:name w:val="Table cell text"/>
    <w:basedOn w:val="Normal"/>
    <w:rsid w:val="00F22EE9"/>
    <w:pPr>
      <w:jc w:val="center"/>
    </w:pPr>
  </w:style>
  <w:style w:type="paragraph" w:customStyle="1" w:styleId="Listdash">
    <w:name w:val="List dash"/>
    <w:basedOn w:val="Normal"/>
    <w:autoRedefine/>
    <w:rsid w:val="00F22EE9"/>
    <w:pPr>
      <w:numPr>
        <w:numId w:val="2"/>
      </w:numPr>
      <w:tabs>
        <w:tab w:val="clear" w:pos="717"/>
        <w:tab w:val="clear" w:pos="1134"/>
      </w:tabs>
      <w:spacing w:after="0"/>
      <w:ind w:left="697" w:hanging="340"/>
    </w:pPr>
  </w:style>
  <w:style w:type="paragraph" w:customStyle="1" w:styleId="Listletters">
    <w:name w:val="List letters"/>
    <w:basedOn w:val="Normal"/>
    <w:rsid w:val="00F22EE9"/>
    <w:pPr>
      <w:numPr>
        <w:numId w:val="4"/>
      </w:numPr>
      <w:tabs>
        <w:tab w:val="clear" w:pos="1134"/>
      </w:tabs>
    </w:pPr>
  </w:style>
  <w:style w:type="paragraph" w:customStyle="1" w:styleId="Tablefootnote">
    <w:name w:val="Table footnote"/>
    <w:basedOn w:val="Normal"/>
    <w:rsid w:val="00F22EE9"/>
  </w:style>
  <w:style w:type="paragraph" w:customStyle="1" w:styleId="Aufzhlungszeichen1">
    <w:name w:val="Aufzählungszeichen1"/>
    <w:basedOn w:val="Normal"/>
    <w:autoRedefine/>
    <w:rsid w:val="00F22EE9"/>
    <w:pPr>
      <w:numPr>
        <w:numId w:val="5"/>
      </w:numPr>
      <w:tabs>
        <w:tab w:val="clear" w:pos="360"/>
        <w:tab w:val="clear" w:pos="1134"/>
      </w:tabs>
      <w:ind w:left="697" w:hanging="340"/>
    </w:pPr>
    <w:rPr>
      <w:color w:val="000000"/>
    </w:rPr>
  </w:style>
  <w:style w:type="paragraph" w:customStyle="1" w:styleId="Keywords">
    <w:name w:val="Keywords"/>
    <w:basedOn w:val="Normal"/>
    <w:autoRedefine/>
    <w:rsid w:val="00E16E89"/>
    <w:pPr>
      <w:spacing w:before="80" w:after="0"/>
      <w:ind w:left="1276" w:hanging="1276"/>
    </w:pPr>
  </w:style>
  <w:style w:type="paragraph" w:customStyle="1" w:styleId="Abstracttext">
    <w:name w:val="Abstract text"/>
    <w:basedOn w:val="Normal"/>
    <w:autoRedefine/>
    <w:rsid w:val="00E16E89"/>
    <w:pPr>
      <w:spacing w:before="120" w:after="120"/>
    </w:pPr>
  </w:style>
  <w:style w:type="paragraph" w:customStyle="1" w:styleId="FigTablecaptionlongerthan1line">
    <w:name w:val="Fig./Table caption longer than 1 line"/>
    <w:basedOn w:val="Normal"/>
    <w:autoRedefine/>
    <w:rsid w:val="00F22EE9"/>
    <w:pPr>
      <w:tabs>
        <w:tab w:val="left" w:pos="822"/>
      </w:tabs>
      <w:spacing w:before="80" w:after="120" w:line="192" w:lineRule="auto"/>
    </w:pPr>
    <w:rPr>
      <w:sz w:val="18"/>
      <w:lang w:val="en-US"/>
    </w:rPr>
  </w:style>
  <w:style w:type="paragraph" w:customStyle="1" w:styleId="FigTablecaptionwithoneline">
    <w:name w:val="Fig./Table caption with one line"/>
    <w:basedOn w:val="FigTablecaptionlongerthan1line"/>
    <w:autoRedefine/>
    <w:rsid w:val="00F22EE9"/>
    <w:pPr>
      <w:spacing w:after="60" w:line="276" w:lineRule="auto"/>
      <w:jc w:val="left"/>
    </w:pPr>
  </w:style>
  <w:style w:type="paragraph" w:customStyle="1" w:styleId="Heading1morethanoneline">
    <w:name w:val="Heading 1 more than one line"/>
    <w:basedOn w:val="Heading1"/>
    <w:autoRedefine/>
    <w:rsid w:val="00F22EE9"/>
    <w:pPr>
      <w:tabs>
        <w:tab w:val="clear" w:pos="284"/>
        <w:tab w:val="clear" w:pos="360"/>
        <w:tab w:val="left" w:pos="340"/>
      </w:tabs>
      <w:ind w:left="340" w:hanging="340"/>
      <w:jc w:val="both"/>
    </w:pPr>
  </w:style>
  <w:style w:type="paragraph" w:customStyle="1" w:styleId="Appendixtitlemorethanoneline">
    <w:name w:val="Appendix title more than one line"/>
    <w:autoRedefine/>
    <w:rsid w:val="00F22EE9"/>
    <w:pPr>
      <w:keepNext/>
      <w:keepLines/>
      <w:widowControl w:val="0"/>
      <w:tabs>
        <w:tab w:val="left" w:pos="1276"/>
      </w:tabs>
      <w:suppressAutoHyphens/>
      <w:spacing w:after="180"/>
      <w:ind w:left="1276" w:hanging="1276"/>
      <w:jc w:val="both"/>
    </w:pPr>
    <w:rPr>
      <w:rFonts w:ascii="Times New Roman" w:hAnsi="Times New Roman"/>
      <w:b/>
      <w:caps/>
      <w:sz w:val="18"/>
      <w:lang w:val="en-GB" w:eastAsia="en-US"/>
    </w:rPr>
  </w:style>
  <w:style w:type="paragraph" w:customStyle="1" w:styleId="ICAaffiliation">
    <w:name w:val="ICA_affiliation"/>
    <w:basedOn w:val="Author"/>
    <w:autoRedefine/>
    <w:rsid w:val="004C77A0"/>
    <w:rPr>
      <w:b w:val="0"/>
    </w:rPr>
  </w:style>
  <w:style w:type="character" w:styleId="FollowedHyperlink">
    <w:name w:val="FollowedHyperlink"/>
    <w:semiHidden/>
    <w:rsid w:val="00F22EE9"/>
    <w:rPr>
      <w:color w:val="800080"/>
      <w:u w:val="single"/>
    </w:rPr>
  </w:style>
  <w:style w:type="paragraph" w:styleId="BodyText3">
    <w:name w:val="Body Text 3"/>
    <w:basedOn w:val="Normal"/>
    <w:semiHidden/>
    <w:rsid w:val="00F22EE9"/>
    <w:pPr>
      <w:tabs>
        <w:tab w:val="clear" w:pos="1134"/>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pPr>
    <w:rPr>
      <w:b/>
      <w:lang w:val="en-US"/>
    </w:rPr>
  </w:style>
  <w:style w:type="paragraph" w:styleId="BalloonText">
    <w:name w:val="Balloon Text"/>
    <w:basedOn w:val="Normal"/>
    <w:semiHidden/>
    <w:rsid w:val="00F22EE9"/>
    <w:rPr>
      <w:rFonts w:ascii="Tahoma" w:hAnsi="Tahoma" w:cs="Tahoma"/>
      <w:sz w:val="16"/>
      <w:szCs w:val="16"/>
    </w:rPr>
  </w:style>
  <w:style w:type="character" w:styleId="CommentReference">
    <w:name w:val="annotation reference"/>
    <w:uiPriority w:val="99"/>
    <w:semiHidden/>
    <w:unhideWhenUsed/>
    <w:rsid w:val="00F22EE9"/>
    <w:rPr>
      <w:sz w:val="16"/>
      <w:szCs w:val="16"/>
    </w:rPr>
  </w:style>
  <w:style w:type="paragraph" w:styleId="CommentText">
    <w:name w:val="annotation text"/>
    <w:basedOn w:val="Normal"/>
    <w:link w:val="CommentTextChar"/>
    <w:uiPriority w:val="99"/>
    <w:semiHidden/>
    <w:unhideWhenUsed/>
    <w:rsid w:val="00F22EE9"/>
  </w:style>
  <w:style w:type="character" w:customStyle="1" w:styleId="CommentTextChar">
    <w:name w:val="Comment Text Char"/>
    <w:link w:val="CommentText"/>
    <w:uiPriority w:val="99"/>
    <w:semiHidden/>
    <w:rsid w:val="00F22EE9"/>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F22EE9"/>
    <w:rPr>
      <w:b/>
      <w:bCs/>
    </w:rPr>
  </w:style>
  <w:style w:type="character" w:customStyle="1" w:styleId="CommentSubjectChar">
    <w:name w:val="Comment Subject Char"/>
    <w:link w:val="CommentSubject"/>
    <w:uiPriority w:val="99"/>
    <w:semiHidden/>
    <w:rsid w:val="00F22EE9"/>
    <w:rPr>
      <w:rFonts w:ascii="Times New Roman" w:hAnsi="Times New Roman"/>
      <w:b/>
      <w:bCs/>
      <w:lang w:val="en-GB" w:eastAsia="en-US"/>
    </w:rPr>
  </w:style>
  <w:style w:type="paragraph" w:styleId="Title">
    <w:name w:val="Title"/>
    <w:basedOn w:val="Normal"/>
    <w:next w:val="Normal"/>
    <w:link w:val="TitleChar"/>
    <w:uiPriority w:val="10"/>
    <w:qFormat/>
    <w:rsid w:val="00037BBE"/>
    <w:pPr>
      <w:spacing w:before="240" w:after="400"/>
      <w:jc w:val="left"/>
      <w:outlineLvl w:val="0"/>
    </w:pPr>
    <w:rPr>
      <w:b/>
      <w:bCs/>
      <w:kern w:val="28"/>
      <w:sz w:val="36"/>
      <w:szCs w:val="32"/>
    </w:rPr>
  </w:style>
  <w:style w:type="character" w:customStyle="1" w:styleId="TitleChar">
    <w:name w:val="Title Char"/>
    <w:link w:val="Title"/>
    <w:uiPriority w:val="10"/>
    <w:rsid w:val="00037BBE"/>
    <w:rPr>
      <w:rFonts w:ascii="Times New Roman" w:hAnsi="Times New Roman"/>
      <w:b/>
      <w:bCs/>
      <w:kern w:val="28"/>
      <w:sz w:val="36"/>
      <w:szCs w:val="32"/>
      <w:lang w:val="en-GB" w:eastAsia="en-US"/>
    </w:rPr>
  </w:style>
  <w:style w:type="paragraph" w:styleId="ListParagraph">
    <w:name w:val="List Paragraph"/>
    <w:basedOn w:val="Normal"/>
    <w:uiPriority w:val="34"/>
    <w:qFormat/>
    <w:rsid w:val="00791C60"/>
    <w:pPr>
      <w:ind w:left="708"/>
    </w:pPr>
  </w:style>
  <w:style w:type="character" w:styleId="FootnoteReference">
    <w:name w:val="footnote reference"/>
    <w:basedOn w:val="DefaultParagraphFont"/>
    <w:uiPriority w:val="99"/>
    <w:semiHidden/>
    <w:unhideWhenUsed/>
    <w:rsid w:val="00DF7ACF"/>
    <w:rPr>
      <w:vertAlign w:val="superscript"/>
    </w:rPr>
  </w:style>
  <w:style w:type="paragraph" w:customStyle="1" w:styleId="ISPRSCOMaffiliation">
    <w:name w:val="ISPRS_COM_affiliation"/>
    <w:basedOn w:val="Author"/>
    <w:autoRedefine/>
    <w:rsid w:val="00F22EE9"/>
    <w:rPr>
      <w:b w:val="0"/>
    </w:rPr>
  </w:style>
  <w:style w:type="paragraph" w:customStyle="1" w:styleId="Abstracttitle">
    <w:name w:val="Abstract title"/>
    <w:basedOn w:val="Normal"/>
    <w:autoRedefine/>
    <w:rsid w:val="00F22EE9"/>
    <w:rPr>
      <w:b/>
      <w:caps/>
    </w:rPr>
  </w:style>
  <w:style w:type="paragraph" w:styleId="Subtitle">
    <w:name w:val="Subtitle"/>
    <w:basedOn w:val="Normal"/>
    <w:next w:val="Normal"/>
    <w:link w:val="SubtitleChar"/>
    <w:uiPriority w:val="11"/>
    <w:qFormat/>
    <w:rsid w:val="00037BB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37BBE"/>
    <w:rPr>
      <w:rFonts w:asciiTheme="minorHAnsi" w:eastAsiaTheme="minorEastAsia" w:hAnsiTheme="minorHAnsi" w:cstheme="minorBidi"/>
      <w:color w:val="5A5A5A" w:themeColor="text1" w:themeTint="A5"/>
      <w:spacing w:val="15"/>
      <w:sz w:val="22"/>
      <w:szCs w:val="22"/>
      <w:lang w:val="en-GB" w:eastAsia="en-US"/>
    </w:rPr>
  </w:style>
  <w:style w:type="character" w:customStyle="1" w:styleId="HeaderChar">
    <w:name w:val="Header Char"/>
    <w:basedOn w:val="DefaultParagraphFont"/>
    <w:link w:val="Header"/>
    <w:uiPriority w:val="99"/>
    <w:rsid w:val="00ED31F4"/>
    <w:rPr>
      <w:rFonts w:ascii="Times New Roman" w:hAnsi="Times New Roman"/>
      <w:lang w:val="en-GB" w:eastAsia="en-US"/>
    </w:rPr>
  </w:style>
  <w:style w:type="paragraph" w:customStyle="1" w:styleId="Pagenumbers">
    <w:name w:val="Page numbers"/>
    <w:qFormat/>
    <w:rsid w:val="00ED31F4"/>
    <w:pPr>
      <w:jc w:val="right"/>
    </w:pPr>
    <w:rPr>
      <w:rFonts w:ascii="Arial" w:hAnsi="Arial" w:cs="Arial"/>
      <w:sz w:val="16"/>
      <w:szCs w:val="16"/>
      <w:lang w:val="en-GB" w:eastAsia="en-US"/>
    </w:rPr>
  </w:style>
  <w:style w:type="character" w:customStyle="1" w:styleId="FootnoteCharacters">
    <w:name w:val="Footnote Characters"/>
    <w:qFormat/>
    <w:rsid w:val="004C3A18"/>
  </w:style>
  <w:style w:type="character" w:customStyle="1" w:styleId="FootnoteAnchor">
    <w:name w:val="Footnote Anchor"/>
    <w:rsid w:val="004C3A18"/>
    <w:rPr>
      <w:vertAlign w:val="superscript"/>
    </w:rPr>
  </w:style>
  <w:style w:type="paragraph" w:customStyle="1" w:styleId="footnotedescription">
    <w:name w:val="footnote description"/>
    <w:next w:val="Normal"/>
    <w:qFormat/>
    <w:rsid w:val="004C3A18"/>
    <w:pPr>
      <w:spacing w:line="264" w:lineRule="auto"/>
      <w:ind w:firstLine="204"/>
    </w:pPr>
    <w:rPr>
      <w:rFonts w:ascii="Calibri" w:eastAsia="Calibri" w:hAnsi="Calibri" w:cs="Calibri"/>
      <w:color w:val="000000"/>
      <w:sz w:val="16"/>
      <w:szCs w:val="22"/>
      <w:lang w:val="cs-CZ" w:eastAsia="cs-CZ"/>
    </w:rPr>
  </w:style>
  <w:style w:type="character" w:customStyle="1" w:styleId="FootnoteTextChar">
    <w:name w:val="Footnote Text Char"/>
    <w:basedOn w:val="DefaultParagraphFont"/>
    <w:link w:val="FootnoteText"/>
    <w:rsid w:val="004C3A18"/>
    <w:rPr>
      <w:rFonts w:ascii="Times New Roman" w:hAnsi="Times New Roman"/>
      <w:sz w:val="18"/>
      <w:lang w:val="en-GB" w:eastAsia="en-US"/>
    </w:rPr>
  </w:style>
  <w:style w:type="character" w:customStyle="1" w:styleId="InternetLink">
    <w:name w:val="Internet Link"/>
    <w:basedOn w:val="DefaultParagraphFont"/>
    <w:uiPriority w:val="99"/>
    <w:unhideWhenUsed/>
    <w:rsid w:val="002F3F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M:\texte\arbeitsgruppen\ica\publication\templates\ica-pub-templa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4C647-E1A9-4CC5-AABE-D826D84B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ica-pub-template.dotx</Template>
  <TotalTime>36</TotalTime>
  <Pages>7</Pages>
  <Words>5393</Words>
  <Characters>30742</Characters>
  <Application>Microsoft Office Word</Application>
  <DocSecurity>0</DocSecurity>
  <Lines>256</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ICA Paper</vt:lpstr>
      <vt:lpstr>ica-template-v2</vt:lpstr>
    </vt:vector>
  </TitlesOfParts>
  <Company>Microsoft</Company>
  <LinksUpToDate>false</LinksUpToDate>
  <CharactersWithSpaces>36063</CharactersWithSpaces>
  <SharedDoc>false</SharedDoc>
  <HLinks>
    <vt:vector size="12" baseType="variant">
      <vt:variant>
        <vt:i4>6553702</vt:i4>
      </vt:variant>
      <vt:variant>
        <vt:i4>3</vt:i4>
      </vt:variant>
      <vt:variant>
        <vt:i4>0</vt:i4>
      </vt:variant>
      <vt:variant>
        <vt:i4>5</vt:i4>
      </vt:variant>
      <vt:variant>
        <vt:lpwstr>http://creativecommons.org/licenses/by/3.0/</vt:lpwstr>
      </vt:variant>
      <vt:variant>
        <vt:lpwstr/>
      </vt:variant>
      <vt:variant>
        <vt:i4>7667787</vt:i4>
      </vt:variant>
      <vt:variant>
        <vt:i4>0</vt:i4>
      </vt:variant>
      <vt:variant>
        <vt:i4>0</vt:i4>
      </vt:variant>
      <vt:variant>
        <vt:i4>5</vt:i4>
      </vt:variant>
      <vt:variant>
        <vt:lpwstr>mailto:idowman@ge.ucl.ac.uk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 Paper</dc:title>
  <dc:creator>Antony Cooper</dc:creator>
  <cp:lastModifiedBy>Antony Cooper</cp:lastModifiedBy>
  <cp:revision>15</cp:revision>
  <cp:lastPrinted>2017-03-13T08:36:00Z</cp:lastPrinted>
  <dcterms:created xsi:type="dcterms:W3CDTF">2023-01-09T19:54:00Z</dcterms:created>
  <dcterms:modified xsi:type="dcterms:W3CDTF">2023-01-09T20:45:00Z</dcterms:modified>
</cp:coreProperties>
</file>